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46" w:rsidRPr="003D4546" w:rsidRDefault="00EC4787" w:rsidP="003D4546">
      <w:pPr>
        <w:pStyle w:val="Titre4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Définition des </w:t>
      </w:r>
      <w:r w:rsidR="003D4546" w:rsidRPr="003D4546">
        <w:rPr>
          <w:rFonts w:eastAsiaTheme="minorHAnsi"/>
          <w:color w:val="auto"/>
        </w:rPr>
        <w:t>catégories de dépenses à sélectionner</w:t>
      </w:r>
      <w:r w:rsidR="000914CF">
        <w:rPr>
          <w:rFonts w:eastAsiaTheme="minorHAnsi"/>
          <w:color w:val="auto"/>
        </w:rPr>
        <w:t xml:space="preserve"> dans </w:t>
      </w:r>
      <w:r>
        <w:rPr>
          <w:rFonts w:eastAsiaTheme="minorHAnsi"/>
          <w:color w:val="auto"/>
        </w:rPr>
        <w:t xml:space="preserve">la demande d’aide </w:t>
      </w:r>
      <w:r w:rsidR="000914CF">
        <w:rPr>
          <w:rFonts w:eastAsiaTheme="minorHAnsi"/>
          <w:color w:val="auto"/>
        </w:rPr>
        <w:t>eSynergie</w:t>
      </w:r>
    </w:p>
    <w:tbl>
      <w:tblPr>
        <w:tblStyle w:val="Grilledutableau"/>
        <w:tblW w:w="10740" w:type="dxa"/>
        <w:tblInd w:w="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518"/>
        <w:gridCol w:w="8222"/>
      </w:tblGrid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b/>
                <w:noProof/>
                <w:sz w:val="20"/>
                <w:szCs w:val="20"/>
                <w:lang w:eastAsia="fr-FR"/>
              </w:rPr>
            </w:pPr>
            <w:r w:rsidRPr="000914CF">
              <w:rPr>
                <w:b/>
                <w:noProof/>
                <w:sz w:val="20"/>
                <w:szCs w:val="20"/>
                <w:lang w:eastAsia="fr-FR"/>
              </w:rPr>
              <w:t>Catégorie de dépense</w:t>
            </w:r>
          </w:p>
        </w:tc>
        <w:tc>
          <w:tcPr>
            <w:tcW w:w="82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EC4787">
            <w:pPr>
              <w:jc w:val="both"/>
              <w:rPr>
                <w:b/>
                <w:noProof/>
                <w:sz w:val="20"/>
                <w:szCs w:val="20"/>
                <w:lang w:eastAsia="fr-FR"/>
              </w:rPr>
            </w:pPr>
            <w:r w:rsidRPr="000914CF">
              <w:rPr>
                <w:b/>
                <w:noProof/>
                <w:sz w:val="20"/>
                <w:szCs w:val="20"/>
                <w:lang w:eastAsia="fr-FR"/>
              </w:rPr>
              <w:t>D</w:t>
            </w:r>
            <w:r w:rsidR="00EC4787">
              <w:rPr>
                <w:b/>
                <w:noProof/>
                <w:sz w:val="20"/>
                <w:szCs w:val="20"/>
                <w:lang w:eastAsia="fr-FR"/>
              </w:rPr>
              <w:t xml:space="preserve">éfinition </w:t>
            </w:r>
            <w:r w:rsidRPr="000914CF">
              <w:rPr>
                <w:b/>
                <w:noProof/>
                <w:sz w:val="20"/>
                <w:szCs w:val="20"/>
                <w:lang w:eastAsia="fr-FR"/>
              </w:rPr>
              <w:t>et précisions</w:t>
            </w:r>
          </w:p>
        </w:tc>
      </w:tr>
      <w:tr w:rsidR="003D4546" w:rsidRPr="003D4546" w:rsidTr="00752B06">
        <w:trPr>
          <w:trHeight w:val="351"/>
        </w:trPr>
        <w:tc>
          <w:tcPr>
            <w:tcW w:w="25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Autres dépenses  (à spécifier)</w:t>
            </w:r>
          </w:p>
        </w:tc>
        <w:tc>
          <w:tcPr>
            <w:tcW w:w="82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Utilisation à éviter. Consulter le service instructeur en cas de besoin.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d’amortissement</w:t>
            </w:r>
          </w:p>
        </w:tc>
        <w:tc>
          <w:tcPr>
            <w:tcW w:w="82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Sont éligibles les dotations aux amortissements des actifs non exclusivement dédiés à l’opération (classe comptable 6811 uniquement  dotations aux amortissements immobilisations corporelles et incorporelles) et uniquement sur la durée du projet.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Dans le cas d’un actif amorti sur une durée supérieure à la durée de réalisation du projet, il est nécessaire d’effectuer un prorata temporis.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de communication de l’opération</w:t>
            </w:r>
          </w:p>
        </w:tc>
        <w:tc>
          <w:tcPr>
            <w:tcW w:w="82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Concerne les dépenses de communication de l’opération, y compris les dépenses permettant de satisfaire aux obligations de publicité de l’aide européenne (plaque, affiches, supports de communication…).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de déplacement, de restauration, d’hébergement</w:t>
            </w:r>
          </w:p>
        </w:tc>
        <w:tc>
          <w:tcPr>
            <w:tcW w:w="82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Concerne les frais de déplacement des personnes impliquées directement dans la mise en œuvre du projet et valorisées dans le poste de dépenses « Dépenses de personnel ».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Des justificatifs (ordre de mission, convocation, compte-rendu de réunion, factures et tickets, état liquidatif prouvant le remboursement à l’agent…) devront être fournis au moment du paiement.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En cas de remboursement des frais sous forme de forfait,  vous devez le signaler au service instructeur.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A défaut, application du barème de l’administration en vigueur à la date de dépôt de la demande d’aide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 xml:space="preserve">Dépenses de fonctionnement </w:t>
            </w:r>
          </w:p>
        </w:tc>
        <w:tc>
          <w:tcPr>
            <w:tcW w:w="82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Ne pas utiliser car déjà inclus dans les autres catégories de dépense.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 w:themeColor="accent1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de personnel</w:t>
            </w:r>
          </w:p>
        </w:tc>
        <w:tc>
          <w:tcPr>
            <w:tcW w:w="82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 w:themeColor="accent1" w:themeTint="66"/>
              <w:right w:val="single" w:sz="4" w:space="0" w:color="8DB3E2" w:themeColor="text2" w:themeTint="66"/>
            </w:tcBorders>
            <w:vAlign w:val="center"/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 xml:space="preserve">Correspond aux dépenses de personnel directement supportées par le bénéficiaire pour les personnes </w:t>
            </w:r>
            <w:r w:rsidRPr="000914CF">
              <w:rPr>
                <w:noProof/>
                <w:sz w:val="18"/>
                <w:szCs w:val="18"/>
                <w:u w:val="single"/>
                <w:lang w:eastAsia="fr-FR"/>
              </w:rPr>
              <w:t>directement affectées à la réalisation de l’opération</w:t>
            </w:r>
            <w:r w:rsidRPr="000914CF">
              <w:rPr>
                <w:noProof/>
                <w:sz w:val="18"/>
                <w:szCs w:val="18"/>
                <w:lang w:eastAsia="fr-FR"/>
              </w:rPr>
              <w:t xml:space="preserve">. Les dépenses de personnel comprennent : </w:t>
            </w:r>
          </w:p>
          <w:p w:rsidR="003D4546" w:rsidRPr="000914CF" w:rsidRDefault="003D4546" w:rsidP="003D4546">
            <w:pPr>
              <w:numPr>
                <w:ilvl w:val="0"/>
                <w:numId w:val="1"/>
              </w:numPr>
              <w:ind w:left="714" w:hanging="357"/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 xml:space="preserve">les salaires, </w:t>
            </w:r>
          </w:p>
          <w:p w:rsidR="003D4546" w:rsidRPr="000914CF" w:rsidRDefault="003D4546" w:rsidP="003D4546">
            <w:pPr>
              <w:numPr>
                <w:ilvl w:val="0"/>
                <w:numId w:val="1"/>
              </w:numPr>
              <w:ind w:left="714" w:hanging="357"/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les charges liées (cotisations</w:t>
            </w:r>
            <w:r w:rsidRPr="000914CF">
              <w:rPr>
                <w:strike/>
                <w:noProof/>
                <w:sz w:val="18"/>
                <w:szCs w:val="18"/>
                <w:lang w:eastAsia="fr-FR"/>
              </w:rPr>
              <w:t xml:space="preserve"> </w:t>
            </w:r>
            <w:r w:rsidRPr="000914CF">
              <w:rPr>
                <w:noProof/>
                <w:sz w:val="18"/>
                <w:szCs w:val="18"/>
                <w:lang w:eastAsia="fr-FR"/>
              </w:rPr>
              <w:t xml:space="preserve">patronales), </w:t>
            </w:r>
          </w:p>
          <w:p w:rsidR="003D4546" w:rsidRPr="000914CF" w:rsidRDefault="003D4546" w:rsidP="003D4546">
            <w:pPr>
              <w:numPr>
                <w:ilvl w:val="0"/>
                <w:numId w:val="1"/>
              </w:numPr>
              <w:ind w:left="714" w:hanging="357"/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les traitements accessoires prévus aux conventions collectives, au contrat de travail ou aux usages de la structure</w:t>
            </w:r>
          </w:p>
          <w:p w:rsidR="003D4546" w:rsidRPr="000914CF" w:rsidRDefault="003D4546" w:rsidP="003D4546">
            <w:pPr>
              <w:numPr>
                <w:ilvl w:val="0"/>
                <w:numId w:val="1"/>
              </w:numPr>
              <w:ind w:left="714" w:hanging="357"/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avantages divers : tous sauf logement et véhicule de fonction, chèques vacances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 xml:space="preserve">En ce qui concerne les contrats aidés, seule la part salariale libre de toute aide est éligible. 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Inscrire le montant global des dépenses de personnel et joindre en annexe le détail - Annexe « Estimation des frais de personnel ».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Les prestations de personnel ( intérimaires, formateurs, etc.) doivent être saisies sous cette catégorie de dépenses, en distinguant en sous-postes les dépenses directes de personnel (personnel employé par la structure) et celles sous forme de prestation, contribuant directement à la mise en œuvre du projet.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de prestations externes de service</w:t>
            </w:r>
          </w:p>
        </w:tc>
        <w:tc>
          <w:tcPr>
            <w:tcW w:w="82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Concerne les prestations nécessaires à la mise en œuvre de l’opération.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Si la prestation couvre également des dépenses inéligibles à l’aide européenne, indiquer seulement les dépenses concernant directement le projet.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Les prestations correspondant à des dépenses de personnel doivent être saisies dans la catégorie « dépenses de personnel » - cf ci-dessus.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d’investissement matériel et immatériel</w:t>
            </w:r>
          </w:p>
        </w:tc>
        <w:tc>
          <w:tcPr>
            <w:tcW w:w="82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Concerne les dépenses d’investissement matériel et immatériel directement liées à l’opération.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L’investissement réalisé ne doit pas servir à autre chose qu’au projet soutenu (sinon, utiliser la ligne de dépenses « Dotations aux amortissements »).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- Crédit-bail</w:t>
            </w:r>
            <w:r w:rsidRPr="000914CF">
              <w:rPr>
                <w:noProof/>
                <w:sz w:val="18"/>
                <w:szCs w:val="18"/>
                <w:lang w:eastAsia="fr-FR"/>
              </w:rPr>
              <w:t> : indiquer le coût total d’achat de la machine. Veiller à ce que le crédit-bailleur soit bien renseigné comme un autre porteur dans l’onglet 1-Porteur. L’aide sera versée au crédit-bailleur sous forme de réduction des loyers. Les dépenses en crédit-bail doivent figurer dans un sous-poste obligatoirement (séparation des dépenses crédit-bail et des dépenses hors crédit-bail).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- Matériel d’occasion</w:t>
            </w:r>
            <w:r w:rsidRPr="000914CF">
              <w:rPr>
                <w:noProof/>
                <w:sz w:val="18"/>
                <w:szCs w:val="18"/>
                <w:lang w:eastAsia="fr-FR"/>
              </w:rPr>
              <w:t> : éligible sous conditions (2</w:t>
            </w:r>
            <w:r w:rsidRPr="000914CF">
              <w:rPr>
                <w:noProof/>
                <w:sz w:val="18"/>
                <w:szCs w:val="18"/>
                <w:vertAlign w:val="superscript"/>
                <w:lang w:eastAsia="fr-FR"/>
              </w:rPr>
              <w:t>ème</w:t>
            </w:r>
            <w:r w:rsidRPr="000914CF">
              <w:rPr>
                <w:noProof/>
                <w:sz w:val="18"/>
                <w:szCs w:val="18"/>
                <w:lang w:eastAsia="fr-FR"/>
              </w:rPr>
              <w:t xml:space="preserve"> main uniquement, facture originale nécessaire et attestation du vendeur que le matériel n’a pas été acquis avec des financements publics).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en nature</w:t>
            </w:r>
          </w:p>
        </w:tc>
        <w:tc>
          <w:tcPr>
            <w:tcW w:w="82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Les apports en nature, telles que la fourniture à titre gracieux de biens ou services, constituent des dépenses éligibles si certaines conditions sont réunies et notamment :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- Elles consistent en l’apport de terrains ou de biens immeubles, de biens d’équipement ou de matériaux, en une activité de recherche, une activité professionnelle ou un travail bénévole ;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- Les apports en nature sont présentés en équilibre en dépenses et en ressources dans le plan de financement de l’opération ;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indirectes sous forme de coûts simplifiés</w:t>
            </w:r>
          </w:p>
        </w:tc>
        <w:tc>
          <w:tcPr>
            <w:tcW w:w="82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 xml:space="preserve">Les dépenses indirectes sont l’ensemble des coûts </w:t>
            </w:r>
            <w:r w:rsidRPr="000914CF">
              <w:rPr>
                <w:noProof/>
                <w:sz w:val="18"/>
                <w:szCs w:val="18"/>
                <w:u w:val="single"/>
                <w:lang w:eastAsia="fr-FR"/>
              </w:rPr>
              <w:t xml:space="preserve">qui ne peuvent </w:t>
            </w:r>
            <w:r w:rsidRPr="000914CF">
              <w:rPr>
                <w:noProof/>
                <w:sz w:val="18"/>
                <w:szCs w:val="18"/>
                <w:u w:val="single"/>
                <w:lang w:eastAsia="fr-FR"/>
              </w:rPr>
              <w:t>pas être rattachés directement</w:t>
            </w:r>
            <w:r w:rsidRPr="000914CF">
              <w:rPr>
                <w:noProof/>
                <w:sz w:val="18"/>
                <w:szCs w:val="18"/>
                <w:lang w:eastAsia="fr-FR"/>
              </w:rPr>
              <w:t>. Ils ne sont donc pas « individualisables » et ni directement imputables à l’action. (par exemple, frais de téléphone, d’électricité, fluides, frais liés aux bâtiments administratifs, personnel administratif, frais postaux, carburants…).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Ces dépenses sont calculées par l’application d’un forfait de :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- Pour le FSE</w:t>
            </w:r>
            <w:r w:rsidRPr="000914CF">
              <w:rPr>
                <w:noProof/>
                <w:sz w:val="18"/>
                <w:szCs w:val="18"/>
                <w:lang w:eastAsia="fr-FR"/>
              </w:rPr>
              <w:t> : 40% des dépenses directes de personnel (poste « Dépenses de personnel ») ou 20% des dépenses directes hors prestation (tous postes sauf « Dépenses de prestations externes de service » et « Dépenses en nature ») ; le forfait de 40% représentant les autres couts directs et indirects de l’opération.</w:t>
            </w:r>
          </w:p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- Pour le FEDER</w:t>
            </w:r>
            <w:r w:rsidRPr="000914CF">
              <w:rPr>
                <w:noProof/>
                <w:sz w:val="18"/>
                <w:szCs w:val="18"/>
                <w:lang w:eastAsia="fr-FR"/>
              </w:rPr>
              <w:t> : 15% des dépenses directes de personnel.</w:t>
            </w:r>
          </w:p>
        </w:tc>
      </w:tr>
      <w:tr w:rsidR="003D4546" w:rsidRPr="003D4546" w:rsidTr="00752B06">
        <w:trPr>
          <w:trHeight w:val="537"/>
        </w:trPr>
        <w:tc>
          <w:tcPr>
            <w:tcW w:w="2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 xml:space="preserve">Dépenses liées aux échanges électroniques </w:t>
            </w:r>
          </w:p>
        </w:tc>
        <w:tc>
          <w:tcPr>
            <w:tcW w:w="82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Ne pas utiliser car inclus dans les coûts simplifiés</w:t>
            </w:r>
          </w:p>
        </w:tc>
      </w:tr>
      <w:tr w:rsidR="003D4546" w:rsidRPr="003D4546" w:rsidTr="00752B06">
        <w:trPr>
          <w:trHeight w:val="538"/>
        </w:trPr>
        <w:tc>
          <w:tcPr>
            <w:tcW w:w="2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3D4546" w:rsidRPr="000914CF" w:rsidRDefault="003D4546" w:rsidP="00752B0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914CF">
              <w:rPr>
                <w:b/>
                <w:noProof/>
                <w:sz w:val="18"/>
                <w:szCs w:val="18"/>
                <w:lang w:eastAsia="fr-FR"/>
              </w:rPr>
              <w:t>Dépenses liées aux participants</w:t>
            </w:r>
          </w:p>
        </w:tc>
        <w:tc>
          <w:tcPr>
            <w:tcW w:w="822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3D4546" w:rsidRPr="000914CF" w:rsidRDefault="003D4546" w:rsidP="00752B06">
            <w:pPr>
              <w:rPr>
                <w:noProof/>
                <w:sz w:val="18"/>
                <w:szCs w:val="18"/>
                <w:lang w:eastAsia="fr-FR"/>
              </w:rPr>
            </w:pPr>
            <w:r w:rsidRPr="000914CF">
              <w:rPr>
                <w:noProof/>
                <w:sz w:val="18"/>
                <w:szCs w:val="18"/>
                <w:lang w:eastAsia="fr-FR"/>
              </w:rPr>
              <w:t>Ne pas utiliser car inclus dans les coûts simplifiés</w:t>
            </w:r>
          </w:p>
        </w:tc>
      </w:tr>
    </w:tbl>
    <w:p w:rsidR="00662C6B" w:rsidRDefault="00662C6B" w:rsidP="003D4546">
      <w:pPr>
        <w:ind w:left="-142" w:right="-852"/>
      </w:pPr>
    </w:p>
    <w:sectPr w:rsidR="00662C6B" w:rsidSect="000914CF">
      <w:pgSz w:w="11906" w:h="16838"/>
      <w:pgMar w:top="567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433F"/>
    <w:multiLevelType w:val="hybridMultilevel"/>
    <w:tmpl w:val="1F3A61B6"/>
    <w:lvl w:ilvl="0" w:tplc="0F7ED6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46"/>
    <w:rsid w:val="000914CF"/>
    <w:rsid w:val="003D4546"/>
    <w:rsid w:val="00662C6B"/>
    <w:rsid w:val="00774DFF"/>
    <w:rsid w:val="00E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46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4546"/>
    <w:pPr>
      <w:outlineLvl w:val="3"/>
    </w:pPr>
    <w:rPr>
      <w:rFonts w:eastAsia="Times New Roman"/>
      <w:b/>
      <w:noProof/>
      <w:color w:val="4F81BD" w:themeColor="accent1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D4546"/>
    <w:rPr>
      <w:rFonts w:eastAsia="Times New Roman"/>
      <w:b/>
      <w:noProof/>
      <w:color w:val="4F81BD" w:themeColor="accent1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D45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46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4546"/>
    <w:pPr>
      <w:outlineLvl w:val="3"/>
    </w:pPr>
    <w:rPr>
      <w:rFonts w:eastAsia="Times New Roman"/>
      <w:b/>
      <w:noProof/>
      <w:color w:val="4F81BD" w:themeColor="accent1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D4546"/>
    <w:rPr>
      <w:rFonts w:eastAsia="Times New Roman"/>
      <w:b/>
      <w:noProof/>
      <w:color w:val="4F81BD" w:themeColor="accent1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3D45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JEANNELLE Bruno</dc:creator>
  <cp:lastModifiedBy>JEANNELLE Bruno</cp:lastModifiedBy>
  <cp:revision>4</cp:revision>
  <cp:lastPrinted>2019-02-01T15:14:00Z</cp:lastPrinted>
  <dcterms:created xsi:type="dcterms:W3CDTF">2019-02-01T15:06:00Z</dcterms:created>
  <dcterms:modified xsi:type="dcterms:W3CDTF">2019-02-01T15:20:00Z</dcterms:modified>
</cp:coreProperties>
</file>