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7F5" w:rsidRDefault="0072124D" w:rsidP="002827F5">
      <w:pPr>
        <w:keepNext/>
        <w:keepLines/>
        <w:pBdr>
          <w:top w:val="single" w:sz="4" w:space="1" w:color="auto"/>
          <w:left w:val="single" w:sz="4" w:space="4" w:color="auto"/>
          <w:bottom w:val="single" w:sz="4" w:space="1" w:color="auto"/>
          <w:right w:val="single" w:sz="4" w:space="4" w:color="auto"/>
        </w:pBdr>
        <w:spacing w:before="360" w:after="120" w:line="280" w:lineRule="exact"/>
        <w:ind w:left="993" w:right="1077" w:hanging="360"/>
        <w:jc w:val="center"/>
        <w:outlineLvl w:val="0"/>
        <w:rPr>
          <w:rFonts w:ascii="Arial" w:eastAsiaTheme="majorEastAsia" w:hAnsi="Arial" w:cstheme="majorBidi"/>
          <w:b/>
          <w:bCs/>
          <w:sz w:val="20"/>
          <w:szCs w:val="28"/>
        </w:rPr>
      </w:pPr>
      <w:r>
        <w:rPr>
          <w:rFonts w:ascii="Arial" w:eastAsiaTheme="majorEastAsia" w:hAnsi="Arial" w:cstheme="majorBidi"/>
          <w:b/>
          <w:bCs/>
          <w:sz w:val="20"/>
          <w:szCs w:val="28"/>
        </w:rPr>
        <w:t>Stratégie de l’Union Européenne pour la Région Alpine</w:t>
      </w:r>
    </w:p>
    <w:p w:rsidR="0072124D" w:rsidRPr="002827F5" w:rsidRDefault="0072124D" w:rsidP="002827F5">
      <w:pPr>
        <w:keepNext/>
        <w:keepLines/>
        <w:pBdr>
          <w:top w:val="single" w:sz="4" w:space="1" w:color="auto"/>
          <w:left w:val="single" w:sz="4" w:space="4" w:color="auto"/>
          <w:bottom w:val="single" w:sz="4" w:space="1" w:color="auto"/>
          <w:right w:val="single" w:sz="4" w:space="4" w:color="auto"/>
        </w:pBdr>
        <w:spacing w:before="360" w:after="120" w:line="280" w:lineRule="exact"/>
        <w:ind w:left="993" w:right="1077" w:hanging="360"/>
        <w:jc w:val="center"/>
        <w:outlineLvl w:val="0"/>
        <w:rPr>
          <w:rFonts w:ascii="Arial" w:eastAsiaTheme="majorEastAsia" w:hAnsi="Arial" w:cstheme="majorBidi"/>
          <w:bCs/>
          <w:i/>
          <w:sz w:val="20"/>
          <w:szCs w:val="28"/>
        </w:rPr>
      </w:pPr>
      <w:r w:rsidRPr="002827F5">
        <w:rPr>
          <w:rFonts w:ascii="Arial" w:eastAsiaTheme="majorEastAsia" w:hAnsi="Arial" w:cstheme="majorBidi"/>
          <w:bCs/>
          <w:i/>
          <w:sz w:val="20"/>
          <w:szCs w:val="28"/>
        </w:rPr>
        <w:t>Une macro-région au service de projets ambitieux pour l’espace alpin</w:t>
      </w:r>
    </w:p>
    <w:p w:rsidR="0072124D" w:rsidRDefault="0072124D" w:rsidP="0072124D">
      <w:pPr>
        <w:keepNext/>
        <w:keepLines/>
        <w:spacing w:before="360" w:after="120" w:line="280" w:lineRule="exact"/>
        <w:ind w:left="993" w:right="1077" w:hanging="360"/>
        <w:jc w:val="both"/>
        <w:outlineLvl w:val="0"/>
        <w:rPr>
          <w:rFonts w:ascii="Arial" w:eastAsiaTheme="majorEastAsia" w:hAnsi="Arial" w:cstheme="majorBidi"/>
          <w:b/>
          <w:bCs/>
          <w:sz w:val="20"/>
          <w:szCs w:val="28"/>
        </w:rPr>
      </w:pPr>
      <w:r w:rsidRPr="0072124D">
        <w:rPr>
          <w:rFonts w:ascii="Arial" w:eastAsiaTheme="majorEastAsia" w:hAnsi="Arial" w:cstheme="majorBidi"/>
          <w:b/>
          <w:bCs/>
          <w:sz w:val="20"/>
          <w:szCs w:val="28"/>
        </w:rPr>
        <w:t>Historique et contexte</w:t>
      </w:r>
    </w:p>
    <w:p w:rsidR="0072124D" w:rsidRPr="0072124D" w:rsidRDefault="0072124D" w:rsidP="0072124D">
      <w:pPr>
        <w:spacing w:after="0" w:line="280" w:lineRule="atLeast"/>
        <w:ind w:left="919" w:right="1077"/>
        <w:jc w:val="both"/>
        <w:rPr>
          <w:rFonts w:ascii="Arial" w:hAnsi="Arial" w:cs="Arial"/>
          <w:bCs/>
          <w:sz w:val="18"/>
          <w:szCs w:val="18"/>
        </w:rPr>
      </w:pPr>
      <w:r w:rsidRPr="0072124D">
        <w:rPr>
          <w:rFonts w:ascii="Arial" w:hAnsi="Arial" w:cs="Arial"/>
          <w:bCs/>
          <w:sz w:val="18"/>
          <w:szCs w:val="18"/>
        </w:rPr>
        <w:t>La Région Franche-Comté a été partie prenante des travaux concernant la stratégie macro-régionale pour le</w:t>
      </w:r>
      <w:r>
        <w:rPr>
          <w:rFonts w:ascii="Arial" w:hAnsi="Arial" w:cs="Arial"/>
          <w:bCs/>
          <w:sz w:val="18"/>
          <w:szCs w:val="18"/>
        </w:rPr>
        <w:t>s Alpes dès son origine en 2010</w:t>
      </w:r>
      <w:r w:rsidRPr="0072124D">
        <w:rPr>
          <w:rFonts w:ascii="Arial" w:hAnsi="Arial" w:cs="Arial"/>
          <w:bCs/>
          <w:sz w:val="18"/>
          <w:szCs w:val="18"/>
        </w:rPr>
        <w:t xml:space="preserve">, en lien avec son implication dans le programme </w:t>
      </w:r>
      <w:proofErr w:type="spellStart"/>
      <w:r w:rsidRPr="0072124D">
        <w:rPr>
          <w:rFonts w:ascii="Arial" w:hAnsi="Arial" w:cs="Arial"/>
          <w:bCs/>
          <w:sz w:val="18"/>
          <w:szCs w:val="18"/>
        </w:rPr>
        <w:t>Interreg</w:t>
      </w:r>
      <w:proofErr w:type="spellEnd"/>
      <w:r w:rsidRPr="0072124D">
        <w:rPr>
          <w:rFonts w:ascii="Arial" w:hAnsi="Arial" w:cs="Arial"/>
          <w:bCs/>
          <w:sz w:val="18"/>
          <w:szCs w:val="18"/>
        </w:rPr>
        <w:t xml:space="preserve"> Espace alpin dont le périmètre géographique est quasiment le même.</w:t>
      </w:r>
    </w:p>
    <w:p w:rsidR="0072124D" w:rsidRPr="0072124D" w:rsidRDefault="0072124D" w:rsidP="0072124D">
      <w:pPr>
        <w:spacing w:after="0" w:line="280" w:lineRule="atLeast"/>
        <w:ind w:left="919" w:right="1077"/>
        <w:jc w:val="both"/>
        <w:rPr>
          <w:rFonts w:ascii="Arial" w:hAnsi="Arial" w:cs="Arial"/>
          <w:bCs/>
          <w:sz w:val="18"/>
          <w:szCs w:val="18"/>
        </w:rPr>
      </w:pPr>
      <w:r w:rsidRPr="0072124D">
        <w:rPr>
          <w:rFonts w:ascii="Arial" w:hAnsi="Arial" w:cs="Arial"/>
          <w:bCs/>
          <w:sz w:val="18"/>
          <w:szCs w:val="18"/>
        </w:rPr>
        <w:t>De nombreuses étapes ont jalonné l’élaboration de cette stratégie jusqu’à son adoption, la coordination politique des 48 Régions concernées dans 7 Etats prenant nécessairement du temps. Il est à noter que l’initiative est venue des Régions dès le départ et n’a pas été impulsée par la Commission européenne.</w:t>
      </w:r>
    </w:p>
    <w:p w:rsidR="0072124D" w:rsidRPr="0072124D" w:rsidRDefault="0072124D" w:rsidP="0072124D">
      <w:pPr>
        <w:spacing w:after="0" w:line="280" w:lineRule="atLeast"/>
        <w:ind w:left="919" w:right="1077"/>
        <w:jc w:val="both"/>
        <w:rPr>
          <w:rFonts w:ascii="Arial" w:hAnsi="Arial" w:cs="Arial"/>
          <w:bCs/>
          <w:sz w:val="18"/>
          <w:szCs w:val="18"/>
        </w:rPr>
      </w:pPr>
    </w:p>
    <w:p w:rsidR="0072124D" w:rsidRDefault="0072124D" w:rsidP="0072124D">
      <w:pPr>
        <w:spacing w:after="0" w:line="280" w:lineRule="atLeast"/>
        <w:ind w:left="919" w:right="1077"/>
        <w:jc w:val="both"/>
        <w:rPr>
          <w:rFonts w:ascii="Arial" w:hAnsi="Arial" w:cs="Arial"/>
          <w:bCs/>
          <w:sz w:val="18"/>
          <w:szCs w:val="18"/>
        </w:rPr>
      </w:pPr>
      <w:r w:rsidRPr="0072124D">
        <w:rPr>
          <w:rFonts w:ascii="Arial" w:hAnsi="Arial" w:cs="Arial"/>
          <w:bCs/>
          <w:sz w:val="18"/>
          <w:szCs w:val="18"/>
        </w:rPr>
        <w:t>La genèse de cette stratégie repose sur des constats partagés et des convictions communes.</w:t>
      </w:r>
    </w:p>
    <w:p w:rsidR="0072124D" w:rsidRPr="0072124D" w:rsidRDefault="0072124D" w:rsidP="0072124D">
      <w:pPr>
        <w:spacing w:after="0" w:line="280" w:lineRule="atLeast"/>
        <w:ind w:left="919" w:right="1077"/>
        <w:jc w:val="both"/>
        <w:rPr>
          <w:rFonts w:ascii="Arial" w:hAnsi="Arial" w:cs="Arial"/>
          <w:bCs/>
          <w:sz w:val="18"/>
          <w:szCs w:val="18"/>
        </w:rPr>
      </w:pPr>
    </w:p>
    <w:p w:rsidR="0072124D" w:rsidRDefault="0072124D" w:rsidP="0072124D">
      <w:pPr>
        <w:spacing w:after="0" w:line="280" w:lineRule="atLeast"/>
        <w:ind w:left="919" w:right="1077"/>
        <w:jc w:val="both"/>
        <w:rPr>
          <w:rFonts w:ascii="Arial" w:hAnsi="Arial" w:cs="Arial"/>
          <w:bCs/>
          <w:sz w:val="18"/>
          <w:szCs w:val="18"/>
        </w:rPr>
      </w:pPr>
      <w:r w:rsidRPr="0072124D">
        <w:rPr>
          <w:rFonts w:ascii="Arial" w:hAnsi="Arial" w:cs="Arial"/>
          <w:bCs/>
          <w:sz w:val="18"/>
          <w:szCs w:val="18"/>
        </w:rPr>
        <w:t>Même s’il s’agit d’une région globalement prospère et jouissant d’une bonne qualité de vie, différentes menaces doivent être prises en compte : les effets négatifs de la mondialisation économique affaiblissant les secteurs économiques traditionnels et exacerbant la pression concurrentielle sur les secteurs de haute valeur ajoutée, les phénomènes démographiques de vieillissement et d’exode, les effets alarmants du changement climatique tant sur les écosystèmes alpins que sur les activités humaines (notamment agricoles et touristiques), et une croissance des disparités territoriales.</w:t>
      </w:r>
    </w:p>
    <w:p w:rsidR="0072124D" w:rsidRDefault="0072124D" w:rsidP="0072124D">
      <w:pPr>
        <w:spacing w:after="0" w:line="280" w:lineRule="atLeast"/>
        <w:ind w:left="919" w:right="1077"/>
        <w:jc w:val="both"/>
        <w:rPr>
          <w:rFonts w:ascii="Arial" w:hAnsi="Arial" w:cs="Arial"/>
          <w:bCs/>
          <w:sz w:val="18"/>
          <w:szCs w:val="18"/>
        </w:rPr>
      </w:pPr>
    </w:p>
    <w:p w:rsidR="0072124D" w:rsidRDefault="0072124D" w:rsidP="0072124D">
      <w:pPr>
        <w:spacing w:after="0" w:line="280" w:lineRule="atLeast"/>
        <w:ind w:left="919" w:right="1077"/>
        <w:jc w:val="both"/>
        <w:rPr>
          <w:rFonts w:ascii="Arial" w:hAnsi="Arial" w:cs="Arial"/>
          <w:b/>
          <w:bCs/>
          <w:sz w:val="18"/>
          <w:szCs w:val="18"/>
        </w:rPr>
      </w:pPr>
      <w:r w:rsidRPr="0072124D">
        <w:rPr>
          <w:rFonts w:ascii="Arial" w:hAnsi="Arial" w:cs="Arial"/>
          <w:b/>
          <w:bCs/>
          <w:sz w:val="18"/>
          <w:szCs w:val="18"/>
        </w:rPr>
        <w:t>Les convictions communes sont que ces défis rencontrés par la région alpine transcendent les frontières et que les coopérations actuelles nécessitent un cadre intégrateur de coordination.</w:t>
      </w:r>
    </w:p>
    <w:p w:rsidR="0072124D" w:rsidRPr="0072124D" w:rsidRDefault="0072124D" w:rsidP="0072124D">
      <w:pPr>
        <w:keepNext/>
        <w:keepLines/>
        <w:spacing w:before="360" w:after="120" w:line="280" w:lineRule="exact"/>
        <w:ind w:left="993" w:right="1077" w:hanging="360"/>
        <w:jc w:val="both"/>
        <w:outlineLvl w:val="0"/>
        <w:rPr>
          <w:rFonts w:ascii="Arial" w:eastAsiaTheme="majorEastAsia" w:hAnsi="Arial" w:cstheme="majorBidi"/>
          <w:b/>
          <w:bCs/>
          <w:sz w:val="20"/>
          <w:szCs w:val="28"/>
        </w:rPr>
      </w:pPr>
      <w:r w:rsidRPr="0072124D">
        <w:rPr>
          <w:rFonts w:ascii="Arial" w:eastAsiaTheme="majorEastAsia" w:hAnsi="Arial" w:cstheme="majorBidi"/>
          <w:b/>
          <w:bCs/>
          <w:sz w:val="20"/>
          <w:szCs w:val="28"/>
        </w:rPr>
        <w:t>Etapes de mise en route et contenu de la stratégie</w:t>
      </w:r>
    </w:p>
    <w:p w:rsidR="0072124D" w:rsidRPr="0072124D" w:rsidRDefault="0072124D" w:rsidP="0072124D">
      <w:pPr>
        <w:spacing w:after="120" w:line="280" w:lineRule="atLeast"/>
        <w:ind w:left="919" w:right="1077"/>
        <w:jc w:val="both"/>
        <w:rPr>
          <w:rFonts w:ascii="Arial" w:hAnsi="Arial" w:cs="Arial"/>
          <w:sz w:val="18"/>
          <w:szCs w:val="18"/>
        </w:rPr>
      </w:pPr>
      <w:r w:rsidRPr="0072124D">
        <w:rPr>
          <w:rFonts w:ascii="Arial" w:hAnsi="Arial" w:cs="Arial"/>
          <w:sz w:val="18"/>
          <w:szCs w:val="18"/>
        </w:rPr>
        <w:t xml:space="preserve">La Commission européenne a adopté le 28 juillet 2015 la Stratégie de l’Union européenne pour la région alpine annexée d’un plan d’action. Le Conseil de l’UE l’a approuvée le 28 novembre 2015, et le lancement officiel des travaux s’est déroulé les 25 et 26 janvier 2016 à </w:t>
      </w:r>
      <w:proofErr w:type="spellStart"/>
      <w:r w:rsidRPr="0072124D">
        <w:rPr>
          <w:rFonts w:ascii="Arial" w:hAnsi="Arial" w:cs="Arial"/>
          <w:sz w:val="18"/>
          <w:szCs w:val="18"/>
        </w:rPr>
        <w:t>Brdo</w:t>
      </w:r>
      <w:proofErr w:type="spellEnd"/>
      <w:r w:rsidRPr="0072124D">
        <w:rPr>
          <w:rFonts w:ascii="Arial" w:hAnsi="Arial" w:cs="Arial"/>
          <w:sz w:val="18"/>
          <w:szCs w:val="18"/>
        </w:rPr>
        <w:t>, en Slovénie, cet Etat exerçant la première présidence tournante annuelle.</w:t>
      </w:r>
    </w:p>
    <w:p w:rsidR="0072124D" w:rsidRPr="0072124D" w:rsidRDefault="0072124D" w:rsidP="0072124D">
      <w:pPr>
        <w:spacing w:after="0" w:line="280" w:lineRule="atLeast"/>
        <w:ind w:left="919" w:right="1077"/>
        <w:jc w:val="both"/>
        <w:rPr>
          <w:rFonts w:ascii="Arial" w:hAnsi="Arial" w:cs="Arial"/>
          <w:sz w:val="18"/>
          <w:szCs w:val="18"/>
        </w:rPr>
      </w:pPr>
      <w:r w:rsidRPr="0072124D">
        <w:rPr>
          <w:rFonts w:ascii="Arial" w:hAnsi="Arial" w:cs="Arial"/>
          <w:sz w:val="18"/>
          <w:szCs w:val="18"/>
        </w:rPr>
        <w:t xml:space="preserve">La stratégie couvre les domaines thématiques suivants : 1) </w:t>
      </w:r>
      <w:r w:rsidRPr="0072124D">
        <w:rPr>
          <w:rFonts w:ascii="Arial" w:hAnsi="Arial" w:cs="Arial"/>
          <w:sz w:val="18"/>
          <w:szCs w:val="18"/>
          <w:u w:val="single"/>
        </w:rPr>
        <w:t>croissance économique et innovation</w:t>
      </w:r>
      <w:r w:rsidRPr="0072124D">
        <w:rPr>
          <w:rFonts w:ascii="Arial" w:hAnsi="Arial" w:cs="Arial"/>
          <w:sz w:val="18"/>
          <w:szCs w:val="18"/>
        </w:rPr>
        <w:t xml:space="preserve">, 2) </w:t>
      </w:r>
      <w:r w:rsidRPr="0072124D">
        <w:rPr>
          <w:rFonts w:ascii="Arial" w:hAnsi="Arial" w:cs="Arial"/>
          <w:sz w:val="18"/>
          <w:szCs w:val="18"/>
          <w:u w:val="single"/>
        </w:rPr>
        <w:t>mobilité et connectivité</w:t>
      </w:r>
      <w:bookmarkStart w:id="0" w:name="_GoBack"/>
      <w:bookmarkEnd w:id="0"/>
      <w:r w:rsidRPr="0072124D">
        <w:rPr>
          <w:rFonts w:ascii="Arial" w:hAnsi="Arial" w:cs="Arial"/>
          <w:sz w:val="18"/>
          <w:szCs w:val="18"/>
        </w:rPr>
        <w:t xml:space="preserve"> et 3) </w:t>
      </w:r>
      <w:r w:rsidRPr="0072124D">
        <w:rPr>
          <w:rFonts w:ascii="Arial" w:hAnsi="Arial" w:cs="Arial"/>
          <w:sz w:val="18"/>
          <w:szCs w:val="18"/>
          <w:u w:val="single"/>
        </w:rPr>
        <w:t>environnement et énergie</w:t>
      </w:r>
      <w:r w:rsidRPr="0072124D">
        <w:rPr>
          <w:rFonts w:ascii="Arial" w:hAnsi="Arial" w:cs="Arial"/>
          <w:sz w:val="18"/>
          <w:szCs w:val="18"/>
        </w:rPr>
        <w:t>. Le plan d’action élaboré pour sa mise en œuvre s’articule ainsi autour de trois objectifs thématiques interdépendants :</w:t>
      </w:r>
    </w:p>
    <w:p w:rsidR="0072124D" w:rsidRPr="0072124D" w:rsidRDefault="0072124D" w:rsidP="0072124D">
      <w:pPr>
        <w:numPr>
          <w:ilvl w:val="0"/>
          <w:numId w:val="1"/>
        </w:numPr>
        <w:spacing w:after="0" w:line="280" w:lineRule="atLeast"/>
        <w:ind w:right="1077"/>
        <w:jc w:val="both"/>
        <w:rPr>
          <w:rFonts w:ascii="Arial" w:hAnsi="Arial" w:cs="Arial"/>
          <w:sz w:val="18"/>
          <w:szCs w:val="18"/>
        </w:rPr>
      </w:pPr>
      <w:r w:rsidRPr="0072124D">
        <w:rPr>
          <w:rFonts w:ascii="Arial" w:hAnsi="Arial" w:cs="Arial"/>
          <w:sz w:val="18"/>
          <w:szCs w:val="18"/>
        </w:rPr>
        <w:t>Un accès équitable à l’emploi, en s’appuyant sur la forte compétitivité de la région</w:t>
      </w:r>
    </w:p>
    <w:p w:rsidR="0072124D" w:rsidRPr="0072124D" w:rsidRDefault="0072124D" w:rsidP="0072124D">
      <w:pPr>
        <w:numPr>
          <w:ilvl w:val="0"/>
          <w:numId w:val="1"/>
        </w:numPr>
        <w:spacing w:after="0" w:line="280" w:lineRule="atLeast"/>
        <w:ind w:right="1077"/>
        <w:jc w:val="both"/>
        <w:rPr>
          <w:rFonts w:ascii="Arial" w:hAnsi="Arial" w:cs="Arial"/>
          <w:sz w:val="18"/>
          <w:szCs w:val="18"/>
        </w:rPr>
      </w:pPr>
      <w:r w:rsidRPr="0072124D">
        <w:rPr>
          <w:rFonts w:ascii="Arial" w:hAnsi="Arial" w:cs="Arial"/>
          <w:sz w:val="18"/>
          <w:szCs w:val="18"/>
        </w:rPr>
        <w:t>Une accessibilité interne et externe durable</w:t>
      </w:r>
    </w:p>
    <w:p w:rsidR="0072124D" w:rsidRDefault="0072124D" w:rsidP="0072124D">
      <w:pPr>
        <w:numPr>
          <w:ilvl w:val="0"/>
          <w:numId w:val="1"/>
        </w:numPr>
        <w:spacing w:after="0" w:line="280" w:lineRule="atLeast"/>
        <w:ind w:right="1077"/>
        <w:jc w:val="both"/>
        <w:rPr>
          <w:rFonts w:ascii="Arial" w:hAnsi="Arial" w:cs="Arial"/>
          <w:sz w:val="18"/>
          <w:szCs w:val="18"/>
        </w:rPr>
      </w:pPr>
      <w:r w:rsidRPr="0072124D">
        <w:rPr>
          <w:rFonts w:ascii="Arial" w:hAnsi="Arial" w:cs="Arial"/>
          <w:sz w:val="18"/>
          <w:szCs w:val="18"/>
        </w:rPr>
        <w:t>Un cadre environnemental plus inclusif et des solutions énergétiques renouvelables et fiables pour l’avenir.</w:t>
      </w:r>
    </w:p>
    <w:p w:rsidR="0072124D" w:rsidRPr="0072124D" w:rsidRDefault="0072124D" w:rsidP="0072124D">
      <w:pPr>
        <w:spacing w:after="120" w:line="280" w:lineRule="atLeast"/>
        <w:ind w:left="919" w:right="1077"/>
        <w:jc w:val="both"/>
        <w:rPr>
          <w:rFonts w:ascii="Arial" w:hAnsi="Arial" w:cs="Arial"/>
          <w:sz w:val="18"/>
          <w:szCs w:val="18"/>
        </w:rPr>
      </w:pPr>
      <w:r w:rsidRPr="0072124D">
        <w:rPr>
          <w:rFonts w:ascii="Arial" w:hAnsi="Arial" w:cs="Arial"/>
          <w:sz w:val="18"/>
          <w:szCs w:val="18"/>
        </w:rPr>
        <w:t xml:space="preserve">Un objectif transversal fonde, quant à lui, un modèle de gouvernance </w:t>
      </w:r>
      <w:proofErr w:type="spellStart"/>
      <w:r w:rsidRPr="0072124D">
        <w:rPr>
          <w:rFonts w:ascii="Arial" w:hAnsi="Arial" w:cs="Arial"/>
          <w:sz w:val="18"/>
          <w:szCs w:val="18"/>
        </w:rPr>
        <w:t>macrorégionale</w:t>
      </w:r>
      <w:proofErr w:type="spellEnd"/>
      <w:r w:rsidRPr="0072124D">
        <w:rPr>
          <w:rFonts w:ascii="Arial" w:hAnsi="Arial" w:cs="Arial"/>
          <w:sz w:val="18"/>
          <w:szCs w:val="18"/>
        </w:rPr>
        <w:t xml:space="preserve"> solide pour la région afin d’améliorer la coopération et la coordination des actions.</w:t>
      </w:r>
    </w:p>
    <w:p w:rsidR="0072124D" w:rsidRPr="0072124D" w:rsidRDefault="0072124D" w:rsidP="0072124D">
      <w:pPr>
        <w:spacing w:after="0" w:line="280" w:lineRule="atLeast"/>
        <w:ind w:left="919" w:right="1077"/>
        <w:jc w:val="both"/>
        <w:rPr>
          <w:rFonts w:ascii="Arial" w:hAnsi="Arial" w:cs="Arial"/>
          <w:bCs/>
          <w:sz w:val="18"/>
          <w:szCs w:val="18"/>
        </w:rPr>
      </w:pPr>
    </w:p>
    <w:p w:rsidR="0072124D" w:rsidRPr="0072124D" w:rsidRDefault="0072124D" w:rsidP="0072124D">
      <w:pPr>
        <w:spacing w:after="120" w:line="280" w:lineRule="atLeast"/>
        <w:ind w:left="919" w:right="1077"/>
        <w:jc w:val="both"/>
        <w:rPr>
          <w:rFonts w:ascii="Arial" w:hAnsi="Arial" w:cs="Arial"/>
          <w:sz w:val="18"/>
          <w:szCs w:val="18"/>
        </w:rPr>
      </w:pPr>
      <w:r w:rsidRPr="0072124D">
        <w:rPr>
          <w:rFonts w:ascii="Arial" w:hAnsi="Arial" w:cs="Arial"/>
          <w:sz w:val="18"/>
          <w:szCs w:val="18"/>
        </w:rPr>
        <w:t xml:space="preserve">Le plan d’action </w:t>
      </w:r>
      <w:r w:rsidR="00E412C5">
        <w:rPr>
          <w:rFonts w:ascii="Arial" w:hAnsi="Arial" w:cs="Arial"/>
          <w:sz w:val="18"/>
          <w:szCs w:val="18"/>
        </w:rPr>
        <w:t>est</w:t>
      </w:r>
      <w:r w:rsidRPr="0072124D">
        <w:rPr>
          <w:rFonts w:ascii="Arial" w:hAnsi="Arial" w:cs="Arial"/>
          <w:sz w:val="18"/>
          <w:szCs w:val="18"/>
        </w:rPr>
        <w:t xml:space="preserve"> mis en œuvre par neuf groupes d’action, chaque groupe étant </w:t>
      </w:r>
      <w:proofErr w:type="spellStart"/>
      <w:r w:rsidRPr="0072124D">
        <w:rPr>
          <w:rFonts w:ascii="Arial" w:hAnsi="Arial" w:cs="Arial"/>
          <w:sz w:val="18"/>
          <w:szCs w:val="18"/>
        </w:rPr>
        <w:t>co-piloté</w:t>
      </w:r>
      <w:proofErr w:type="spellEnd"/>
      <w:r w:rsidRPr="0072124D">
        <w:rPr>
          <w:rFonts w:ascii="Arial" w:hAnsi="Arial" w:cs="Arial"/>
          <w:sz w:val="18"/>
          <w:szCs w:val="18"/>
        </w:rPr>
        <w:t xml:space="preserve"> par deux Régions :</w:t>
      </w:r>
    </w:p>
    <w:p w:rsidR="0072124D" w:rsidRPr="0072124D" w:rsidRDefault="0072124D" w:rsidP="0072124D">
      <w:pPr>
        <w:numPr>
          <w:ilvl w:val="0"/>
          <w:numId w:val="1"/>
        </w:numPr>
        <w:spacing w:after="0" w:line="280" w:lineRule="atLeast"/>
        <w:ind w:right="1077"/>
        <w:jc w:val="both"/>
        <w:rPr>
          <w:rFonts w:ascii="Arial" w:hAnsi="Arial" w:cs="Arial"/>
          <w:sz w:val="18"/>
          <w:szCs w:val="18"/>
        </w:rPr>
      </w:pPr>
      <w:r w:rsidRPr="0072124D">
        <w:rPr>
          <w:rFonts w:ascii="Arial" w:hAnsi="Arial" w:cs="Arial"/>
          <w:sz w:val="18"/>
          <w:szCs w:val="18"/>
          <w:u w:val="single"/>
        </w:rPr>
        <w:t>Groupe d’action n°1</w:t>
      </w:r>
      <w:r w:rsidRPr="0072124D">
        <w:rPr>
          <w:rFonts w:ascii="Arial" w:hAnsi="Arial" w:cs="Arial"/>
          <w:sz w:val="18"/>
          <w:szCs w:val="18"/>
        </w:rPr>
        <w:t> : Créer un véritable écosystème d’innovation et de recherche</w:t>
      </w:r>
    </w:p>
    <w:p w:rsidR="0072124D" w:rsidRPr="0072124D" w:rsidRDefault="0072124D" w:rsidP="0072124D">
      <w:pPr>
        <w:numPr>
          <w:ilvl w:val="0"/>
          <w:numId w:val="1"/>
        </w:numPr>
        <w:spacing w:after="0" w:line="280" w:lineRule="atLeast"/>
        <w:ind w:right="1077"/>
        <w:jc w:val="both"/>
        <w:rPr>
          <w:rFonts w:ascii="Arial" w:hAnsi="Arial" w:cs="Arial"/>
          <w:sz w:val="18"/>
          <w:szCs w:val="18"/>
        </w:rPr>
      </w:pPr>
      <w:r w:rsidRPr="0072124D">
        <w:rPr>
          <w:rFonts w:ascii="Arial" w:hAnsi="Arial" w:cs="Arial"/>
          <w:sz w:val="18"/>
          <w:szCs w:val="18"/>
          <w:u w:val="single"/>
        </w:rPr>
        <w:t>Groupe d’action n°2</w:t>
      </w:r>
      <w:r w:rsidRPr="0072124D">
        <w:rPr>
          <w:rFonts w:ascii="Arial" w:hAnsi="Arial" w:cs="Arial"/>
          <w:sz w:val="18"/>
          <w:szCs w:val="18"/>
        </w:rPr>
        <w:t> : Accroître le potentiel économique des secteurs stratégiques</w:t>
      </w:r>
    </w:p>
    <w:p w:rsidR="0072124D" w:rsidRPr="0072124D" w:rsidRDefault="0072124D" w:rsidP="0072124D">
      <w:pPr>
        <w:numPr>
          <w:ilvl w:val="0"/>
          <w:numId w:val="1"/>
        </w:numPr>
        <w:spacing w:after="0" w:line="280" w:lineRule="atLeast"/>
        <w:ind w:right="1077"/>
        <w:jc w:val="both"/>
        <w:rPr>
          <w:rFonts w:ascii="Arial" w:hAnsi="Arial" w:cs="Arial"/>
          <w:sz w:val="18"/>
          <w:szCs w:val="18"/>
        </w:rPr>
      </w:pPr>
      <w:r w:rsidRPr="0072124D">
        <w:rPr>
          <w:rFonts w:ascii="Arial" w:hAnsi="Arial" w:cs="Arial"/>
          <w:sz w:val="18"/>
          <w:szCs w:val="18"/>
          <w:u w:val="single"/>
        </w:rPr>
        <w:t>Groupe d’action n°3</w:t>
      </w:r>
      <w:r w:rsidRPr="0072124D">
        <w:rPr>
          <w:rFonts w:ascii="Arial" w:hAnsi="Arial" w:cs="Arial"/>
          <w:sz w:val="18"/>
          <w:szCs w:val="18"/>
        </w:rPr>
        <w:t> : Mettre l’éducation et la formation en adéquation avec le marché du travail dans les secteurs stratégiques</w:t>
      </w:r>
    </w:p>
    <w:p w:rsidR="0072124D" w:rsidRPr="0072124D" w:rsidRDefault="0072124D" w:rsidP="0072124D">
      <w:pPr>
        <w:numPr>
          <w:ilvl w:val="0"/>
          <w:numId w:val="1"/>
        </w:numPr>
        <w:spacing w:after="0" w:line="280" w:lineRule="atLeast"/>
        <w:ind w:right="1077"/>
        <w:jc w:val="both"/>
        <w:rPr>
          <w:rFonts w:ascii="Arial" w:hAnsi="Arial" w:cs="Arial"/>
          <w:sz w:val="18"/>
          <w:szCs w:val="18"/>
        </w:rPr>
      </w:pPr>
      <w:r w:rsidRPr="0072124D">
        <w:rPr>
          <w:rFonts w:ascii="Arial" w:hAnsi="Arial" w:cs="Arial"/>
          <w:sz w:val="18"/>
          <w:szCs w:val="18"/>
          <w:u w:val="single"/>
        </w:rPr>
        <w:t>Groupe d’action n°4</w:t>
      </w:r>
      <w:r w:rsidRPr="0072124D">
        <w:rPr>
          <w:rFonts w:ascii="Arial" w:hAnsi="Arial" w:cs="Arial"/>
          <w:sz w:val="18"/>
          <w:szCs w:val="18"/>
        </w:rPr>
        <w:t> : Promouvoir l’intermodalité et l’interopérabilité du transport de passagers et de marchandises</w:t>
      </w:r>
    </w:p>
    <w:p w:rsidR="0072124D" w:rsidRPr="0072124D" w:rsidRDefault="0072124D" w:rsidP="0072124D">
      <w:pPr>
        <w:numPr>
          <w:ilvl w:val="0"/>
          <w:numId w:val="1"/>
        </w:numPr>
        <w:spacing w:after="0" w:line="280" w:lineRule="atLeast"/>
        <w:ind w:right="1077"/>
        <w:jc w:val="both"/>
        <w:rPr>
          <w:rFonts w:ascii="Arial" w:hAnsi="Arial" w:cs="Arial"/>
          <w:sz w:val="18"/>
          <w:szCs w:val="18"/>
        </w:rPr>
      </w:pPr>
      <w:r w:rsidRPr="0072124D">
        <w:rPr>
          <w:rFonts w:ascii="Arial" w:hAnsi="Arial" w:cs="Arial"/>
          <w:sz w:val="18"/>
          <w:szCs w:val="18"/>
          <w:u w:val="single"/>
        </w:rPr>
        <w:t>Groupe d’action n°5</w:t>
      </w:r>
      <w:r w:rsidRPr="0072124D">
        <w:rPr>
          <w:rFonts w:ascii="Arial" w:hAnsi="Arial" w:cs="Arial"/>
          <w:sz w:val="18"/>
          <w:szCs w:val="18"/>
        </w:rPr>
        <w:t> : Assurer la connexion électronique entre les personnes et faciliter l’accès aux services publics</w:t>
      </w:r>
    </w:p>
    <w:p w:rsidR="0072124D" w:rsidRPr="0072124D" w:rsidRDefault="0072124D" w:rsidP="0072124D">
      <w:pPr>
        <w:numPr>
          <w:ilvl w:val="0"/>
          <w:numId w:val="1"/>
        </w:numPr>
        <w:spacing w:after="0" w:line="280" w:lineRule="atLeast"/>
        <w:ind w:right="1077"/>
        <w:jc w:val="both"/>
        <w:rPr>
          <w:rFonts w:ascii="Arial" w:hAnsi="Arial" w:cs="Arial"/>
          <w:sz w:val="18"/>
          <w:szCs w:val="18"/>
        </w:rPr>
      </w:pPr>
      <w:r w:rsidRPr="0072124D">
        <w:rPr>
          <w:rFonts w:ascii="Arial" w:hAnsi="Arial" w:cs="Arial"/>
          <w:sz w:val="18"/>
          <w:szCs w:val="18"/>
          <w:u w:val="single"/>
        </w:rPr>
        <w:t>Groupe d’action n°6</w:t>
      </w:r>
      <w:r w:rsidRPr="0072124D">
        <w:rPr>
          <w:rFonts w:ascii="Arial" w:hAnsi="Arial" w:cs="Arial"/>
          <w:sz w:val="18"/>
          <w:szCs w:val="18"/>
        </w:rPr>
        <w:t> : Préserver et valoriser les ressources naturelles, y compris l’eau, ainsi que les ressources culturelles</w:t>
      </w:r>
    </w:p>
    <w:p w:rsidR="0072124D" w:rsidRPr="0072124D" w:rsidRDefault="0072124D" w:rsidP="0072124D">
      <w:pPr>
        <w:numPr>
          <w:ilvl w:val="0"/>
          <w:numId w:val="1"/>
        </w:numPr>
        <w:spacing w:after="0" w:line="280" w:lineRule="atLeast"/>
        <w:ind w:right="1077"/>
        <w:jc w:val="both"/>
        <w:rPr>
          <w:rFonts w:ascii="Arial" w:hAnsi="Arial" w:cs="Arial"/>
          <w:sz w:val="18"/>
          <w:szCs w:val="18"/>
        </w:rPr>
      </w:pPr>
      <w:r w:rsidRPr="0072124D">
        <w:rPr>
          <w:rFonts w:ascii="Arial" w:hAnsi="Arial" w:cs="Arial"/>
          <w:sz w:val="18"/>
          <w:szCs w:val="18"/>
          <w:u w:val="single"/>
        </w:rPr>
        <w:t>Groupe d’action n°7</w:t>
      </w:r>
      <w:r w:rsidRPr="0072124D">
        <w:rPr>
          <w:rFonts w:ascii="Arial" w:hAnsi="Arial" w:cs="Arial"/>
          <w:sz w:val="18"/>
          <w:szCs w:val="18"/>
        </w:rPr>
        <w:t> : Développer la connectivité écologique sur l’ensemble du territoire SUERA</w:t>
      </w:r>
    </w:p>
    <w:p w:rsidR="0072124D" w:rsidRPr="0072124D" w:rsidRDefault="0072124D" w:rsidP="0072124D">
      <w:pPr>
        <w:numPr>
          <w:ilvl w:val="0"/>
          <w:numId w:val="1"/>
        </w:numPr>
        <w:spacing w:after="0" w:line="280" w:lineRule="atLeast"/>
        <w:ind w:right="1077"/>
        <w:jc w:val="both"/>
        <w:rPr>
          <w:rFonts w:ascii="Arial" w:hAnsi="Arial" w:cs="Arial"/>
          <w:sz w:val="18"/>
          <w:szCs w:val="18"/>
        </w:rPr>
      </w:pPr>
      <w:r w:rsidRPr="0072124D">
        <w:rPr>
          <w:rFonts w:ascii="Arial" w:hAnsi="Arial" w:cs="Arial"/>
          <w:sz w:val="18"/>
          <w:szCs w:val="18"/>
          <w:u w:val="single"/>
        </w:rPr>
        <w:t>Groupe d’action n°8</w:t>
      </w:r>
      <w:r w:rsidRPr="0072124D">
        <w:rPr>
          <w:rFonts w:ascii="Arial" w:hAnsi="Arial" w:cs="Arial"/>
          <w:sz w:val="18"/>
          <w:szCs w:val="18"/>
        </w:rPr>
        <w:t> : Améliorer la gestion des risques et mieux gérer le changement climatique, notamment par la prévention des risques naturels de grande ampleur</w:t>
      </w:r>
    </w:p>
    <w:p w:rsidR="0072124D" w:rsidRPr="0072124D" w:rsidRDefault="0072124D" w:rsidP="0072124D">
      <w:pPr>
        <w:numPr>
          <w:ilvl w:val="0"/>
          <w:numId w:val="1"/>
        </w:numPr>
        <w:spacing w:after="0" w:line="280" w:lineRule="atLeast"/>
        <w:ind w:right="1077"/>
        <w:jc w:val="both"/>
        <w:rPr>
          <w:rFonts w:ascii="Arial" w:hAnsi="Arial" w:cs="Arial"/>
          <w:sz w:val="18"/>
          <w:szCs w:val="18"/>
        </w:rPr>
      </w:pPr>
      <w:r w:rsidRPr="0072124D">
        <w:rPr>
          <w:rFonts w:ascii="Arial" w:hAnsi="Arial" w:cs="Arial"/>
          <w:sz w:val="18"/>
          <w:szCs w:val="18"/>
          <w:u w:val="single"/>
        </w:rPr>
        <w:t>Groupe d’action n°9</w:t>
      </w:r>
      <w:r w:rsidRPr="0072124D">
        <w:rPr>
          <w:rFonts w:ascii="Arial" w:hAnsi="Arial" w:cs="Arial"/>
          <w:sz w:val="18"/>
          <w:szCs w:val="18"/>
        </w:rPr>
        <w:t> : Faire du territoire de la région un modèle en termes d'efficacité énergétique et d'énergies renouvelables.</w:t>
      </w:r>
    </w:p>
    <w:p w:rsidR="00E412C5" w:rsidRDefault="00E412C5" w:rsidP="0072124D">
      <w:pPr>
        <w:spacing w:after="120" w:line="280" w:lineRule="atLeast"/>
        <w:ind w:left="919" w:right="1077"/>
        <w:jc w:val="both"/>
        <w:rPr>
          <w:rFonts w:ascii="Arial" w:hAnsi="Arial" w:cs="Arial"/>
          <w:sz w:val="18"/>
          <w:szCs w:val="18"/>
        </w:rPr>
      </w:pPr>
    </w:p>
    <w:p w:rsidR="0072124D" w:rsidRPr="0072124D" w:rsidRDefault="00E412C5" w:rsidP="0072124D">
      <w:pPr>
        <w:spacing w:after="120" w:line="280" w:lineRule="atLeast"/>
        <w:ind w:left="919" w:right="1077"/>
        <w:jc w:val="both"/>
        <w:rPr>
          <w:rFonts w:ascii="Arial" w:hAnsi="Arial" w:cs="Arial"/>
          <w:sz w:val="18"/>
          <w:szCs w:val="18"/>
        </w:rPr>
      </w:pPr>
      <w:r>
        <w:rPr>
          <w:rFonts w:ascii="Arial" w:hAnsi="Arial" w:cs="Arial"/>
          <w:sz w:val="18"/>
          <w:szCs w:val="18"/>
        </w:rPr>
        <w:t>Les groupes d’action</w:t>
      </w:r>
      <w:r w:rsidR="0072124D" w:rsidRPr="0072124D">
        <w:rPr>
          <w:rFonts w:ascii="Arial" w:hAnsi="Arial" w:cs="Arial"/>
          <w:sz w:val="18"/>
          <w:szCs w:val="18"/>
        </w:rPr>
        <w:t xml:space="preserve"> sont constitués de membres permanents décisionnels (experts techniques des États et Régions) et de membres invités conseillers (experts des directions générales de la Commission européenne, Secrétariat permanent de la Convention alpine, secrétariat conjoint du Programme Espace alpin, experts des autorités infrarégionales (Départements, Métropoles, intercommunalités, communes), experts de la société civile (chambres consulaires, universités et centres de recherche, associations/ONG, groupements d’entreprises, etc.).</w:t>
      </w:r>
    </w:p>
    <w:p w:rsidR="0072124D" w:rsidRPr="0072124D" w:rsidRDefault="00E412C5" w:rsidP="0072124D">
      <w:pPr>
        <w:spacing w:after="120" w:line="280" w:lineRule="atLeast"/>
        <w:ind w:left="919" w:right="1077"/>
        <w:jc w:val="both"/>
        <w:rPr>
          <w:rFonts w:ascii="Arial" w:hAnsi="Arial" w:cs="Arial"/>
          <w:sz w:val="18"/>
          <w:szCs w:val="18"/>
        </w:rPr>
      </w:pPr>
      <w:r>
        <w:rPr>
          <w:rFonts w:ascii="Arial" w:hAnsi="Arial" w:cs="Arial"/>
          <w:sz w:val="18"/>
          <w:szCs w:val="18"/>
        </w:rPr>
        <w:t>L</w:t>
      </w:r>
      <w:r w:rsidR="0072124D" w:rsidRPr="0072124D">
        <w:rPr>
          <w:rFonts w:ascii="Arial" w:hAnsi="Arial" w:cs="Arial"/>
          <w:sz w:val="18"/>
          <w:szCs w:val="18"/>
        </w:rPr>
        <w:t xml:space="preserve">es instances de gouvernance sont </w:t>
      </w:r>
      <w:r>
        <w:rPr>
          <w:rFonts w:ascii="Arial" w:hAnsi="Arial" w:cs="Arial"/>
          <w:sz w:val="18"/>
          <w:szCs w:val="18"/>
        </w:rPr>
        <w:t>quant à elles structurées de la manière suivante</w:t>
      </w:r>
      <w:r w:rsidR="0072124D" w:rsidRPr="0072124D">
        <w:rPr>
          <w:rFonts w:ascii="Arial" w:hAnsi="Arial" w:cs="Arial"/>
          <w:sz w:val="18"/>
          <w:szCs w:val="18"/>
        </w:rPr>
        <w:t> :</w:t>
      </w:r>
    </w:p>
    <w:p w:rsidR="0072124D" w:rsidRPr="0072124D" w:rsidRDefault="0072124D" w:rsidP="0072124D">
      <w:pPr>
        <w:spacing w:after="120" w:line="280" w:lineRule="atLeast"/>
        <w:ind w:left="919" w:right="1077"/>
        <w:jc w:val="both"/>
        <w:rPr>
          <w:rFonts w:ascii="Arial" w:hAnsi="Arial" w:cs="Arial"/>
          <w:sz w:val="18"/>
          <w:szCs w:val="18"/>
        </w:rPr>
      </w:pPr>
      <w:r w:rsidRPr="0072124D">
        <w:rPr>
          <w:rFonts w:ascii="Arial" w:hAnsi="Arial" w:cs="Arial"/>
          <w:sz w:val="18"/>
          <w:szCs w:val="18"/>
        </w:rPr>
        <w:t xml:space="preserve">§ </w:t>
      </w:r>
      <w:proofErr w:type="gramStart"/>
      <w:r w:rsidRPr="0072124D">
        <w:rPr>
          <w:rFonts w:ascii="Arial" w:hAnsi="Arial" w:cs="Arial"/>
          <w:b/>
          <w:sz w:val="18"/>
          <w:szCs w:val="18"/>
        </w:rPr>
        <w:t>l’assemblée</w:t>
      </w:r>
      <w:proofErr w:type="gramEnd"/>
      <w:r w:rsidRPr="0072124D">
        <w:rPr>
          <w:rFonts w:ascii="Arial" w:hAnsi="Arial" w:cs="Arial"/>
          <w:b/>
          <w:sz w:val="18"/>
          <w:szCs w:val="18"/>
        </w:rPr>
        <w:t xml:space="preserve"> générale</w:t>
      </w:r>
      <w:r w:rsidRPr="0072124D">
        <w:rPr>
          <w:rFonts w:ascii="Arial" w:hAnsi="Arial" w:cs="Arial"/>
          <w:sz w:val="18"/>
          <w:szCs w:val="18"/>
        </w:rPr>
        <w:t xml:space="preserve"> : gouvernements nationaux et exécutifs régionaux, Commission européenne, Convention alpine</w:t>
      </w:r>
    </w:p>
    <w:p w:rsidR="0072124D" w:rsidRPr="0072124D" w:rsidRDefault="0072124D" w:rsidP="0072124D">
      <w:pPr>
        <w:spacing w:after="120" w:line="280" w:lineRule="atLeast"/>
        <w:ind w:left="919" w:right="1077"/>
        <w:jc w:val="both"/>
        <w:rPr>
          <w:rFonts w:ascii="Arial" w:hAnsi="Arial" w:cs="Arial"/>
          <w:sz w:val="18"/>
          <w:szCs w:val="18"/>
        </w:rPr>
      </w:pPr>
      <w:r w:rsidRPr="0072124D">
        <w:rPr>
          <w:rFonts w:ascii="Arial" w:hAnsi="Arial" w:cs="Arial"/>
          <w:sz w:val="18"/>
          <w:szCs w:val="18"/>
        </w:rPr>
        <w:t xml:space="preserve">§ </w:t>
      </w:r>
      <w:proofErr w:type="gramStart"/>
      <w:r w:rsidRPr="0072124D">
        <w:rPr>
          <w:rFonts w:ascii="Arial" w:hAnsi="Arial" w:cs="Arial"/>
          <w:b/>
          <w:sz w:val="18"/>
          <w:szCs w:val="18"/>
        </w:rPr>
        <w:t>le</w:t>
      </w:r>
      <w:proofErr w:type="gramEnd"/>
      <w:r w:rsidRPr="0072124D">
        <w:rPr>
          <w:rFonts w:ascii="Arial" w:hAnsi="Arial" w:cs="Arial"/>
          <w:b/>
          <w:sz w:val="18"/>
          <w:szCs w:val="18"/>
        </w:rPr>
        <w:t xml:space="preserve"> conseil exécutif</w:t>
      </w:r>
      <w:r w:rsidRPr="0072124D">
        <w:rPr>
          <w:rFonts w:ascii="Arial" w:hAnsi="Arial" w:cs="Arial"/>
          <w:sz w:val="18"/>
          <w:szCs w:val="18"/>
        </w:rPr>
        <w:t xml:space="preserve"> : délégations de coordination</w:t>
      </w:r>
      <w:r w:rsidR="00E412C5">
        <w:rPr>
          <w:rFonts w:ascii="Arial" w:hAnsi="Arial" w:cs="Arial"/>
          <w:sz w:val="18"/>
          <w:szCs w:val="18"/>
        </w:rPr>
        <w:t>s</w:t>
      </w:r>
      <w:r w:rsidRPr="0072124D">
        <w:rPr>
          <w:rFonts w:ascii="Arial" w:hAnsi="Arial" w:cs="Arial"/>
          <w:sz w:val="18"/>
          <w:szCs w:val="18"/>
        </w:rPr>
        <w:t xml:space="preserve"> nationale</w:t>
      </w:r>
      <w:r w:rsidR="00E412C5">
        <w:rPr>
          <w:rFonts w:ascii="Arial" w:hAnsi="Arial" w:cs="Arial"/>
          <w:sz w:val="18"/>
          <w:szCs w:val="18"/>
        </w:rPr>
        <w:t>s</w:t>
      </w:r>
      <w:r w:rsidRPr="0072124D">
        <w:rPr>
          <w:rFonts w:ascii="Arial" w:hAnsi="Arial" w:cs="Arial"/>
          <w:sz w:val="18"/>
          <w:szCs w:val="18"/>
        </w:rPr>
        <w:t xml:space="preserve"> (État et Régions), direction générale chargée de la politique régionale et urbaine de la Commission européenne, secrétariat permanent de la Convention alpine, secrétariat conjoint du Programme Espace alpin</w:t>
      </w:r>
      <w:r w:rsidR="00E412C5">
        <w:rPr>
          <w:rFonts w:ascii="Arial" w:hAnsi="Arial" w:cs="Arial"/>
          <w:sz w:val="18"/>
          <w:szCs w:val="18"/>
        </w:rPr>
        <w:t>.</w:t>
      </w:r>
    </w:p>
    <w:p w:rsidR="0072124D" w:rsidRPr="0072124D" w:rsidRDefault="0072124D" w:rsidP="0072124D">
      <w:pPr>
        <w:keepNext/>
        <w:keepLines/>
        <w:spacing w:before="360" w:after="120" w:line="280" w:lineRule="exact"/>
        <w:ind w:left="993" w:right="1077" w:hanging="360"/>
        <w:jc w:val="both"/>
        <w:outlineLvl w:val="0"/>
        <w:rPr>
          <w:rFonts w:ascii="Arial" w:eastAsiaTheme="majorEastAsia" w:hAnsi="Arial" w:cstheme="majorBidi"/>
          <w:b/>
          <w:bCs/>
          <w:sz w:val="20"/>
          <w:szCs w:val="28"/>
        </w:rPr>
      </w:pPr>
      <w:r w:rsidRPr="0072124D">
        <w:rPr>
          <w:rFonts w:ascii="Arial" w:eastAsiaTheme="majorEastAsia" w:hAnsi="Arial" w:cstheme="majorBidi"/>
          <w:b/>
          <w:bCs/>
          <w:sz w:val="20"/>
          <w:szCs w:val="28"/>
        </w:rPr>
        <w:t>Lien avec les programmes opérationnels</w:t>
      </w:r>
    </w:p>
    <w:p w:rsidR="0072124D" w:rsidRPr="0072124D" w:rsidRDefault="0072124D" w:rsidP="0072124D">
      <w:pPr>
        <w:spacing w:after="120" w:line="280" w:lineRule="atLeast"/>
        <w:ind w:left="633" w:right="1077"/>
        <w:jc w:val="both"/>
        <w:rPr>
          <w:rFonts w:ascii="Arial" w:hAnsi="Arial" w:cs="Arial"/>
          <w:sz w:val="18"/>
          <w:szCs w:val="18"/>
        </w:rPr>
      </w:pPr>
      <w:r w:rsidRPr="0072124D">
        <w:rPr>
          <w:rFonts w:ascii="Arial" w:hAnsi="Arial" w:cs="Arial"/>
          <w:sz w:val="18"/>
          <w:szCs w:val="18"/>
        </w:rPr>
        <w:t xml:space="preserve">La SUERA n’ayant pas de financement propre, mais étant une stratégie intégratrice, il est demandé à l’ensemble des programmes opérationnels et aux programmes de développement rural inclus dans son périmètre de </w:t>
      </w:r>
      <w:r w:rsidR="00E412C5">
        <w:rPr>
          <w:rFonts w:ascii="Arial" w:hAnsi="Arial" w:cs="Arial"/>
          <w:sz w:val="18"/>
          <w:szCs w:val="18"/>
        </w:rPr>
        <w:t>permettre le financement</w:t>
      </w:r>
      <w:r w:rsidR="002827F5">
        <w:rPr>
          <w:rFonts w:ascii="Arial" w:hAnsi="Arial" w:cs="Arial"/>
          <w:sz w:val="18"/>
          <w:szCs w:val="18"/>
        </w:rPr>
        <w:t xml:space="preserve"> d’</w:t>
      </w:r>
      <w:r w:rsidRPr="0072124D">
        <w:rPr>
          <w:rFonts w:ascii="Arial" w:hAnsi="Arial" w:cs="Arial"/>
          <w:sz w:val="18"/>
          <w:szCs w:val="18"/>
        </w:rPr>
        <w:t xml:space="preserve">actions qui contribuent aux objectifs de la stratégie. </w:t>
      </w:r>
      <w:r w:rsidR="002827F5">
        <w:rPr>
          <w:rFonts w:ascii="Arial" w:hAnsi="Arial" w:cs="Arial"/>
          <w:sz w:val="18"/>
          <w:szCs w:val="18"/>
        </w:rPr>
        <w:t>Cet enjeu est particulièrement important pour la période de programmation post 2020.</w:t>
      </w:r>
    </w:p>
    <w:p w:rsidR="002827F5" w:rsidRDefault="002827F5">
      <w:pPr>
        <w:rPr>
          <w:rFonts w:ascii="Arial" w:hAnsi="Arial" w:cs="Arial"/>
          <w:sz w:val="18"/>
          <w:szCs w:val="18"/>
        </w:rPr>
      </w:pPr>
      <w:r>
        <w:rPr>
          <w:rFonts w:ascii="Arial" w:hAnsi="Arial" w:cs="Arial"/>
          <w:sz w:val="18"/>
          <w:szCs w:val="18"/>
        </w:rPr>
        <w:br w:type="page"/>
      </w:r>
    </w:p>
    <w:p w:rsidR="002827F5" w:rsidRPr="0072124D" w:rsidRDefault="002827F5" w:rsidP="002827F5">
      <w:pPr>
        <w:spacing w:after="0" w:line="280" w:lineRule="atLeast"/>
        <w:ind w:right="1077"/>
        <w:jc w:val="both"/>
        <w:rPr>
          <w:rFonts w:ascii="Arial" w:hAnsi="Arial" w:cs="Arial"/>
          <w:sz w:val="18"/>
          <w:szCs w:val="18"/>
        </w:rPr>
      </w:pPr>
    </w:p>
    <w:p w:rsidR="002827F5" w:rsidRPr="0072124D" w:rsidRDefault="002827F5" w:rsidP="002827F5">
      <w:pPr>
        <w:spacing w:after="0" w:line="280" w:lineRule="atLeast"/>
        <w:ind w:left="919" w:right="1077"/>
        <w:jc w:val="center"/>
        <w:rPr>
          <w:rFonts w:ascii="Arial" w:hAnsi="Arial" w:cs="Arial"/>
          <w:b/>
          <w:bCs/>
          <w:sz w:val="18"/>
          <w:szCs w:val="18"/>
          <w:u w:val="single"/>
        </w:rPr>
      </w:pPr>
      <w:r w:rsidRPr="0072124D">
        <w:rPr>
          <w:rFonts w:ascii="Arial" w:hAnsi="Arial" w:cs="Arial"/>
          <w:b/>
          <w:bCs/>
          <w:sz w:val="18"/>
          <w:szCs w:val="18"/>
          <w:u w:val="single"/>
        </w:rPr>
        <w:t xml:space="preserve">Périmètre d’application de la SUERA </w:t>
      </w:r>
    </w:p>
    <w:p w:rsidR="002827F5" w:rsidRDefault="002827F5" w:rsidP="002827F5">
      <w:pPr>
        <w:spacing w:after="0" w:line="280" w:lineRule="atLeast"/>
        <w:ind w:left="919" w:right="1077"/>
        <w:jc w:val="center"/>
        <w:rPr>
          <w:rFonts w:ascii="Arial" w:hAnsi="Arial" w:cs="Arial"/>
          <w:b/>
          <w:bCs/>
          <w:i/>
          <w:sz w:val="18"/>
          <w:szCs w:val="18"/>
        </w:rPr>
      </w:pPr>
      <w:r w:rsidRPr="0072124D">
        <w:rPr>
          <w:rFonts w:ascii="Arial" w:hAnsi="Arial" w:cs="Arial"/>
          <w:b/>
          <w:bCs/>
          <w:i/>
          <w:sz w:val="18"/>
          <w:szCs w:val="18"/>
        </w:rPr>
        <w:t>(EUSALP en anglais)</w:t>
      </w:r>
    </w:p>
    <w:p w:rsidR="002827F5" w:rsidRDefault="002827F5" w:rsidP="002827F5">
      <w:pPr>
        <w:spacing w:after="0" w:line="280" w:lineRule="atLeast"/>
        <w:ind w:left="919" w:right="1077"/>
        <w:jc w:val="center"/>
        <w:rPr>
          <w:rFonts w:ascii="Arial" w:hAnsi="Arial" w:cs="Arial"/>
          <w:b/>
          <w:bCs/>
          <w:i/>
          <w:sz w:val="18"/>
          <w:szCs w:val="18"/>
        </w:rPr>
      </w:pPr>
    </w:p>
    <w:p w:rsidR="002827F5" w:rsidRPr="0072124D" w:rsidRDefault="002827F5" w:rsidP="002827F5">
      <w:pPr>
        <w:spacing w:after="0" w:line="280" w:lineRule="atLeast"/>
        <w:ind w:left="919" w:right="1077"/>
        <w:jc w:val="center"/>
        <w:rPr>
          <w:rFonts w:ascii="Arial" w:hAnsi="Arial" w:cs="Arial"/>
          <w:b/>
          <w:bCs/>
          <w:i/>
          <w:sz w:val="18"/>
          <w:szCs w:val="18"/>
        </w:rPr>
      </w:pPr>
    </w:p>
    <w:p w:rsidR="002827F5" w:rsidRDefault="002827F5" w:rsidP="002827F5">
      <w:pPr>
        <w:spacing w:after="0" w:line="280" w:lineRule="atLeast"/>
        <w:ind w:left="919" w:right="1077"/>
        <w:jc w:val="both"/>
        <w:rPr>
          <w:rFonts w:ascii="Arial" w:hAnsi="Arial" w:cs="Arial"/>
          <w:bCs/>
          <w:sz w:val="18"/>
          <w:szCs w:val="18"/>
        </w:rPr>
      </w:pPr>
      <w:r w:rsidRPr="0072124D">
        <w:rPr>
          <w:rFonts w:ascii="Arial" w:hAnsi="Arial" w:cs="Arial"/>
          <w:bCs/>
          <w:noProof/>
          <w:sz w:val="18"/>
          <w:szCs w:val="18"/>
          <w:lang w:eastAsia="fr-FR"/>
        </w:rPr>
        <w:drawing>
          <wp:inline distT="0" distB="0" distL="0" distR="0" wp14:anchorId="635AF2E3" wp14:editId="3324E8D3">
            <wp:extent cx="4902217" cy="3154362"/>
            <wp:effectExtent l="0" t="0" r="0" b="8255"/>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02217" cy="315436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2827F5" w:rsidRDefault="002827F5" w:rsidP="002827F5">
      <w:pPr>
        <w:spacing w:after="0" w:line="280" w:lineRule="atLeast"/>
        <w:ind w:left="919" w:right="1077"/>
        <w:jc w:val="both"/>
        <w:rPr>
          <w:rFonts w:ascii="Arial" w:hAnsi="Arial" w:cs="Arial"/>
          <w:bCs/>
          <w:i/>
          <w:color w:val="FF0000"/>
          <w:sz w:val="18"/>
          <w:szCs w:val="18"/>
          <w:u w:val="single"/>
        </w:rPr>
      </w:pPr>
    </w:p>
    <w:p w:rsidR="002827F5" w:rsidRDefault="002827F5" w:rsidP="002827F5">
      <w:pPr>
        <w:spacing w:after="0" w:line="280" w:lineRule="atLeast"/>
        <w:ind w:left="919" w:right="1077"/>
        <w:jc w:val="both"/>
        <w:rPr>
          <w:rFonts w:ascii="Arial" w:hAnsi="Arial" w:cs="Arial"/>
          <w:bCs/>
          <w:i/>
          <w:color w:val="FF0000"/>
          <w:sz w:val="18"/>
          <w:szCs w:val="18"/>
          <w:u w:val="single"/>
        </w:rPr>
      </w:pPr>
    </w:p>
    <w:p w:rsidR="002827F5" w:rsidRDefault="002827F5" w:rsidP="002827F5">
      <w:pPr>
        <w:spacing w:after="0" w:line="280" w:lineRule="atLeast"/>
        <w:ind w:left="919" w:right="1077"/>
        <w:jc w:val="both"/>
        <w:rPr>
          <w:rFonts w:ascii="Arial" w:hAnsi="Arial" w:cs="Arial"/>
          <w:bCs/>
          <w:i/>
          <w:sz w:val="18"/>
          <w:szCs w:val="18"/>
        </w:rPr>
      </w:pPr>
      <w:r w:rsidRPr="0072124D">
        <w:rPr>
          <w:rFonts w:ascii="Arial" w:hAnsi="Arial" w:cs="Arial"/>
          <w:bCs/>
          <w:i/>
          <w:color w:val="FF0000"/>
          <w:sz w:val="18"/>
          <w:szCs w:val="18"/>
          <w:u w:val="single"/>
        </w:rPr>
        <w:t xml:space="preserve">Alpine </w:t>
      </w:r>
      <w:proofErr w:type="spellStart"/>
      <w:r w:rsidRPr="0072124D">
        <w:rPr>
          <w:rFonts w:ascii="Arial" w:hAnsi="Arial" w:cs="Arial"/>
          <w:bCs/>
          <w:i/>
          <w:color w:val="FF0000"/>
          <w:sz w:val="18"/>
          <w:szCs w:val="18"/>
          <w:u w:val="single"/>
        </w:rPr>
        <w:t>Space</w:t>
      </w:r>
      <w:proofErr w:type="spellEnd"/>
      <w:r w:rsidRPr="0072124D">
        <w:rPr>
          <w:rFonts w:ascii="Arial" w:hAnsi="Arial" w:cs="Arial"/>
          <w:bCs/>
          <w:i/>
          <w:sz w:val="18"/>
          <w:szCs w:val="18"/>
        </w:rPr>
        <w:t xml:space="preserve"> : périmètre du programme </w:t>
      </w:r>
      <w:proofErr w:type="spellStart"/>
      <w:r w:rsidRPr="0072124D">
        <w:rPr>
          <w:rFonts w:ascii="Arial" w:hAnsi="Arial" w:cs="Arial"/>
          <w:bCs/>
          <w:i/>
          <w:sz w:val="18"/>
          <w:szCs w:val="18"/>
        </w:rPr>
        <w:t>Interreg</w:t>
      </w:r>
      <w:proofErr w:type="spellEnd"/>
      <w:r w:rsidRPr="0072124D">
        <w:rPr>
          <w:rFonts w:ascii="Arial" w:hAnsi="Arial" w:cs="Arial"/>
          <w:bCs/>
          <w:i/>
          <w:sz w:val="18"/>
          <w:szCs w:val="18"/>
        </w:rPr>
        <w:t xml:space="preserve"> Espace alpin qui inclut également l’Alsace côté français</w:t>
      </w:r>
    </w:p>
    <w:p w:rsidR="002827F5" w:rsidRPr="0072124D" w:rsidRDefault="002827F5" w:rsidP="002827F5">
      <w:pPr>
        <w:spacing w:after="0" w:line="280" w:lineRule="atLeast"/>
        <w:ind w:left="919" w:right="1077"/>
        <w:jc w:val="both"/>
        <w:rPr>
          <w:rFonts w:ascii="Arial" w:hAnsi="Arial" w:cs="Arial"/>
          <w:bCs/>
          <w:i/>
          <w:sz w:val="18"/>
          <w:szCs w:val="18"/>
        </w:rPr>
      </w:pPr>
    </w:p>
    <w:p w:rsidR="002827F5" w:rsidRDefault="002827F5" w:rsidP="002827F5">
      <w:pPr>
        <w:spacing w:after="0" w:line="280" w:lineRule="atLeast"/>
        <w:ind w:left="919" w:right="1077"/>
        <w:jc w:val="both"/>
        <w:rPr>
          <w:rFonts w:ascii="Arial" w:hAnsi="Arial" w:cs="Arial"/>
          <w:bCs/>
          <w:i/>
          <w:sz w:val="18"/>
          <w:szCs w:val="18"/>
        </w:rPr>
      </w:pPr>
      <w:r w:rsidRPr="0072124D">
        <w:rPr>
          <w:rFonts w:ascii="Arial" w:hAnsi="Arial" w:cs="Arial"/>
          <w:bCs/>
          <w:i/>
          <w:color w:val="00B050"/>
          <w:sz w:val="18"/>
          <w:szCs w:val="18"/>
          <w:u w:val="single"/>
        </w:rPr>
        <w:t>Alpine Convention</w:t>
      </w:r>
      <w:r w:rsidRPr="0072124D">
        <w:rPr>
          <w:rFonts w:ascii="Arial" w:hAnsi="Arial" w:cs="Arial"/>
          <w:bCs/>
          <w:i/>
          <w:color w:val="00B050"/>
          <w:sz w:val="18"/>
          <w:szCs w:val="18"/>
        </w:rPr>
        <w:t> </w:t>
      </w:r>
      <w:r w:rsidRPr="0072124D">
        <w:rPr>
          <w:rFonts w:ascii="Arial" w:hAnsi="Arial" w:cs="Arial"/>
          <w:bCs/>
          <w:i/>
          <w:sz w:val="18"/>
          <w:szCs w:val="18"/>
        </w:rPr>
        <w:t>: périmètre de la Convention alpine, traité international pour le développement durable et la protection des Alpes ratifié par les pays alpins (Allemagne, Autriche, France, Italie, Liechtenstein, Monaco, Slovénie et Suisse) ainsi que l'Union européenne.</w:t>
      </w:r>
    </w:p>
    <w:p w:rsidR="002827F5" w:rsidRDefault="002827F5" w:rsidP="002827F5">
      <w:pPr>
        <w:spacing w:after="0" w:line="280" w:lineRule="atLeast"/>
        <w:ind w:left="919" w:right="1077"/>
        <w:jc w:val="both"/>
        <w:rPr>
          <w:rFonts w:ascii="Arial" w:hAnsi="Arial" w:cs="Arial"/>
          <w:bCs/>
          <w:i/>
          <w:sz w:val="18"/>
          <w:szCs w:val="18"/>
        </w:rPr>
      </w:pPr>
    </w:p>
    <w:p w:rsidR="002827F5" w:rsidRDefault="002827F5" w:rsidP="002827F5">
      <w:pPr>
        <w:spacing w:after="0" w:line="280" w:lineRule="atLeast"/>
        <w:ind w:left="919" w:right="1077"/>
        <w:jc w:val="both"/>
        <w:rPr>
          <w:rFonts w:ascii="Arial" w:hAnsi="Arial" w:cs="Arial"/>
          <w:bCs/>
          <w:sz w:val="18"/>
          <w:szCs w:val="18"/>
        </w:rPr>
      </w:pPr>
      <w:r w:rsidRPr="0072124D">
        <w:rPr>
          <w:rFonts w:ascii="Arial" w:hAnsi="Arial" w:cs="Arial"/>
          <w:bCs/>
          <w:sz w:val="18"/>
          <w:szCs w:val="18"/>
          <w:u w:val="single"/>
        </w:rPr>
        <w:t>Une remarque importante</w:t>
      </w:r>
      <w:r w:rsidRPr="0072124D">
        <w:rPr>
          <w:rFonts w:ascii="Arial" w:hAnsi="Arial" w:cs="Arial"/>
          <w:bCs/>
          <w:sz w:val="18"/>
          <w:szCs w:val="18"/>
        </w:rPr>
        <w:t xml:space="preserve"> : les périmètres du programme </w:t>
      </w:r>
      <w:proofErr w:type="spellStart"/>
      <w:r w:rsidRPr="0072124D">
        <w:rPr>
          <w:rFonts w:ascii="Arial" w:hAnsi="Arial" w:cs="Arial"/>
          <w:bCs/>
          <w:sz w:val="18"/>
          <w:szCs w:val="18"/>
        </w:rPr>
        <w:t>Interreg</w:t>
      </w:r>
      <w:proofErr w:type="spellEnd"/>
      <w:r w:rsidRPr="0072124D">
        <w:rPr>
          <w:rFonts w:ascii="Arial" w:hAnsi="Arial" w:cs="Arial"/>
          <w:bCs/>
          <w:sz w:val="18"/>
          <w:szCs w:val="18"/>
        </w:rPr>
        <w:t xml:space="preserve"> Espace alpin et de la macro-région alpine ne prennent en compte que le territoire de la Franche-Comté. La Bourgogne n’est donc pas concernée par ces travaux malgré la fusion (de même pour l’Auvergne en Région Auvergne Rhône-Alpes).</w:t>
      </w:r>
    </w:p>
    <w:p w:rsidR="0072124D" w:rsidRPr="0072124D" w:rsidRDefault="0072124D" w:rsidP="0072124D">
      <w:pPr>
        <w:spacing w:after="0" w:line="280" w:lineRule="atLeast"/>
        <w:ind w:left="709" w:right="1077"/>
        <w:jc w:val="both"/>
        <w:rPr>
          <w:rFonts w:ascii="Arial" w:hAnsi="Arial" w:cs="Arial"/>
          <w:sz w:val="18"/>
          <w:szCs w:val="18"/>
        </w:rPr>
      </w:pPr>
    </w:p>
    <w:sectPr w:rsidR="0072124D" w:rsidRPr="007212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F2129"/>
    <w:multiLevelType w:val="hybridMultilevel"/>
    <w:tmpl w:val="72A00034"/>
    <w:lvl w:ilvl="0" w:tplc="7B4EDCD4">
      <w:numFmt w:val="bullet"/>
      <w:lvlText w:val="-"/>
      <w:lvlJc w:val="left"/>
      <w:pPr>
        <w:ind w:left="1279" w:hanging="360"/>
      </w:pPr>
      <w:rPr>
        <w:rFonts w:ascii="Arial" w:eastAsiaTheme="minorHAnsi" w:hAnsi="Arial" w:cs="Arial" w:hint="default"/>
      </w:rPr>
    </w:lvl>
    <w:lvl w:ilvl="1" w:tplc="040C0003" w:tentative="1">
      <w:start w:val="1"/>
      <w:numFmt w:val="bullet"/>
      <w:lvlText w:val="o"/>
      <w:lvlJc w:val="left"/>
      <w:pPr>
        <w:ind w:left="1999" w:hanging="360"/>
      </w:pPr>
      <w:rPr>
        <w:rFonts w:ascii="Courier New" w:hAnsi="Courier New" w:cs="Courier New" w:hint="default"/>
      </w:rPr>
    </w:lvl>
    <w:lvl w:ilvl="2" w:tplc="040C0005" w:tentative="1">
      <w:start w:val="1"/>
      <w:numFmt w:val="bullet"/>
      <w:lvlText w:val=""/>
      <w:lvlJc w:val="left"/>
      <w:pPr>
        <w:ind w:left="2719" w:hanging="360"/>
      </w:pPr>
      <w:rPr>
        <w:rFonts w:ascii="Wingdings" w:hAnsi="Wingdings" w:hint="default"/>
      </w:rPr>
    </w:lvl>
    <w:lvl w:ilvl="3" w:tplc="040C0001" w:tentative="1">
      <w:start w:val="1"/>
      <w:numFmt w:val="bullet"/>
      <w:lvlText w:val=""/>
      <w:lvlJc w:val="left"/>
      <w:pPr>
        <w:ind w:left="3439" w:hanging="360"/>
      </w:pPr>
      <w:rPr>
        <w:rFonts w:ascii="Symbol" w:hAnsi="Symbol" w:hint="default"/>
      </w:rPr>
    </w:lvl>
    <w:lvl w:ilvl="4" w:tplc="040C0003" w:tentative="1">
      <w:start w:val="1"/>
      <w:numFmt w:val="bullet"/>
      <w:lvlText w:val="o"/>
      <w:lvlJc w:val="left"/>
      <w:pPr>
        <w:ind w:left="4159" w:hanging="360"/>
      </w:pPr>
      <w:rPr>
        <w:rFonts w:ascii="Courier New" w:hAnsi="Courier New" w:cs="Courier New" w:hint="default"/>
      </w:rPr>
    </w:lvl>
    <w:lvl w:ilvl="5" w:tplc="040C0005" w:tentative="1">
      <w:start w:val="1"/>
      <w:numFmt w:val="bullet"/>
      <w:lvlText w:val=""/>
      <w:lvlJc w:val="left"/>
      <w:pPr>
        <w:ind w:left="4879" w:hanging="360"/>
      </w:pPr>
      <w:rPr>
        <w:rFonts w:ascii="Wingdings" w:hAnsi="Wingdings" w:hint="default"/>
      </w:rPr>
    </w:lvl>
    <w:lvl w:ilvl="6" w:tplc="040C0001" w:tentative="1">
      <w:start w:val="1"/>
      <w:numFmt w:val="bullet"/>
      <w:lvlText w:val=""/>
      <w:lvlJc w:val="left"/>
      <w:pPr>
        <w:ind w:left="5599" w:hanging="360"/>
      </w:pPr>
      <w:rPr>
        <w:rFonts w:ascii="Symbol" w:hAnsi="Symbol" w:hint="default"/>
      </w:rPr>
    </w:lvl>
    <w:lvl w:ilvl="7" w:tplc="040C0003" w:tentative="1">
      <w:start w:val="1"/>
      <w:numFmt w:val="bullet"/>
      <w:lvlText w:val="o"/>
      <w:lvlJc w:val="left"/>
      <w:pPr>
        <w:ind w:left="6319" w:hanging="360"/>
      </w:pPr>
      <w:rPr>
        <w:rFonts w:ascii="Courier New" w:hAnsi="Courier New" w:cs="Courier New" w:hint="default"/>
      </w:rPr>
    </w:lvl>
    <w:lvl w:ilvl="8" w:tplc="040C0005" w:tentative="1">
      <w:start w:val="1"/>
      <w:numFmt w:val="bullet"/>
      <w:lvlText w:val=""/>
      <w:lvlJc w:val="left"/>
      <w:pPr>
        <w:ind w:left="703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24D"/>
    <w:rsid w:val="002827F5"/>
    <w:rsid w:val="0060247B"/>
    <w:rsid w:val="0072124D"/>
    <w:rsid w:val="00E412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12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124D"/>
    <w:rPr>
      <w:rFonts w:ascii="Tahoma" w:hAnsi="Tahoma" w:cs="Tahoma"/>
      <w:sz w:val="16"/>
      <w:szCs w:val="16"/>
    </w:rPr>
  </w:style>
  <w:style w:type="paragraph" w:styleId="Paragraphedeliste">
    <w:name w:val="List Paragraph"/>
    <w:basedOn w:val="Normal"/>
    <w:uiPriority w:val="34"/>
    <w:qFormat/>
    <w:rsid w:val="007212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12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124D"/>
    <w:rPr>
      <w:rFonts w:ascii="Tahoma" w:hAnsi="Tahoma" w:cs="Tahoma"/>
      <w:sz w:val="16"/>
      <w:szCs w:val="16"/>
    </w:rPr>
  </w:style>
  <w:style w:type="paragraph" w:styleId="Paragraphedeliste">
    <w:name w:val="List Paragraph"/>
    <w:basedOn w:val="Normal"/>
    <w:uiPriority w:val="34"/>
    <w:qFormat/>
    <w:rsid w:val="00721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921</Words>
  <Characters>5070</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BFC</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TREISSAC Pauline</dc:creator>
  <cp:lastModifiedBy>TREISSAC Pauline</cp:lastModifiedBy>
  <cp:revision>1</cp:revision>
  <dcterms:created xsi:type="dcterms:W3CDTF">2019-10-17T13:39:00Z</dcterms:created>
  <dcterms:modified xsi:type="dcterms:W3CDTF">2019-10-17T14:06:00Z</dcterms:modified>
</cp:coreProperties>
</file>