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B6F6" w14:textId="0E24E600" w:rsidR="00DC663E" w:rsidRPr="001F5D5C" w:rsidRDefault="00DC663E" w:rsidP="00CD3CF3">
      <w:pPr>
        <w:pStyle w:val="Titre4"/>
        <w:ind w:left="2124" w:firstLine="708"/>
        <w:rPr>
          <w:rFonts w:eastAsiaTheme="minorHAnsi"/>
          <w:color w:val="auto"/>
        </w:rPr>
      </w:pPr>
      <w:r>
        <w:rPr>
          <w:rFonts w:eastAsiaTheme="minorHAnsi"/>
          <w:color w:val="auto"/>
        </w:rPr>
        <w:drawing>
          <wp:anchor distT="0" distB="0" distL="114300" distR="114300" simplePos="0" relativeHeight="251658240" behindDoc="0" locked="0" layoutInCell="1" allowOverlap="1" wp14:anchorId="6064D915" wp14:editId="3FB39D1B">
            <wp:simplePos x="0" y="0"/>
            <wp:positionH relativeFrom="margin">
              <wp:align>left</wp:align>
            </wp:positionH>
            <wp:positionV relativeFrom="paragraph">
              <wp:posOffset>-410902</wp:posOffset>
            </wp:positionV>
            <wp:extent cx="1511300" cy="1381649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31" cy="139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D5C">
        <w:rPr>
          <w:rFonts w:eastAsiaTheme="minorHAnsi"/>
          <w:color w:val="auto"/>
        </w:rPr>
        <w:t xml:space="preserve"> </w:t>
      </w:r>
      <w:r w:rsidRPr="001831DB">
        <w:rPr>
          <w:rFonts w:eastAsiaTheme="minorHAnsi"/>
          <w:color w:val="auto"/>
          <w:sz w:val="40"/>
          <w:szCs w:val="40"/>
        </w:rPr>
        <w:t xml:space="preserve">Demande d’aide </w:t>
      </w:r>
      <w:r w:rsidR="001831DB">
        <w:rPr>
          <w:rFonts w:eastAsiaTheme="minorHAnsi"/>
          <w:color w:val="auto"/>
          <w:sz w:val="40"/>
          <w:szCs w:val="40"/>
        </w:rPr>
        <w:t xml:space="preserve">FEDER-FSE </w:t>
      </w:r>
      <w:r w:rsidRPr="001831DB">
        <w:rPr>
          <w:rFonts w:eastAsiaTheme="minorHAnsi"/>
          <w:color w:val="auto"/>
          <w:sz w:val="40"/>
          <w:szCs w:val="40"/>
        </w:rPr>
        <w:t>eSynergie</w:t>
      </w:r>
    </w:p>
    <w:p w14:paraId="690010AC" w14:textId="42CB676D" w:rsidR="00662C6B" w:rsidRDefault="00EC4787" w:rsidP="00CE6212">
      <w:pPr>
        <w:pStyle w:val="Titre4"/>
        <w:ind w:left="2124" w:firstLine="708"/>
        <w:jc w:val="center"/>
        <w:rPr>
          <w:rFonts w:eastAsiaTheme="minorHAnsi"/>
          <w:color w:val="auto"/>
          <w:sz w:val="32"/>
          <w:szCs w:val="32"/>
        </w:rPr>
      </w:pPr>
      <w:r w:rsidRPr="001831DB">
        <w:rPr>
          <w:rFonts w:eastAsiaTheme="minorHAnsi"/>
          <w:color w:val="auto"/>
          <w:sz w:val="32"/>
          <w:szCs w:val="32"/>
        </w:rPr>
        <w:t xml:space="preserve">Définition des </w:t>
      </w:r>
      <w:r w:rsidR="003D4546" w:rsidRPr="001831DB">
        <w:rPr>
          <w:rFonts w:eastAsiaTheme="minorHAnsi"/>
          <w:color w:val="auto"/>
          <w:sz w:val="32"/>
          <w:szCs w:val="32"/>
        </w:rPr>
        <w:t>catégories de dépenses</w:t>
      </w:r>
    </w:p>
    <w:p w14:paraId="104BA528" w14:textId="77777777" w:rsidR="00CD3CF3" w:rsidRPr="00CD3CF3" w:rsidRDefault="00CD3CF3" w:rsidP="00CD3CF3">
      <w:pPr>
        <w:rPr>
          <w:sz w:val="16"/>
          <w:szCs w:val="16"/>
          <w:lang w:eastAsia="fr-FR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7371"/>
      </w:tblGrid>
      <w:tr w:rsidR="00DC663E" w:rsidRPr="00D32CB7" w14:paraId="3BF2B57E" w14:textId="0E6A1AB8" w:rsidTr="003D486B">
        <w:trPr>
          <w:trHeight w:val="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AC3F" w14:textId="7C38D739" w:rsidR="00DC663E" w:rsidRPr="00DC663E" w:rsidRDefault="00C90358" w:rsidP="00DC66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010 </w:t>
            </w:r>
            <w:r w:rsidR="00DC663E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d'Investissement matériel et immatériel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915" w14:textId="01F02497" w:rsidR="00DC663E" w:rsidRPr="001831DB" w:rsidRDefault="00DC663E" w:rsidP="001D1C3A">
            <w:pPr>
              <w:spacing w:after="0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Concerne les dépenses d’investissement matériel et immatériel </w:t>
            </w:r>
            <w:r w:rsidRPr="001831DB">
              <w:rPr>
                <w:rFonts w:cstheme="minorHAnsi"/>
                <w:noProof/>
                <w:sz w:val="18"/>
                <w:szCs w:val="18"/>
                <w:u w:val="single"/>
                <w:lang w:eastAsia="fr-FR"/>
              </w:rPr>
              <w:t>directement</w:t>
            </w: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 liées à l’opération</w:t>
            </w:r>
            <w:r w:rsidR="00570BA5"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 (y compris les dépenses de travaux ou d’infrastructures, couvertes ou non par des marchés publics)</w:t>
            </w:r>
          </w:p>
          <w:p w14:paraId="3A3D08B2" w14:textId="480245FD" w:rsidR="00DC663E" w:rsidRPr="001831DB" w:rsidRDefault="00112007" w:rsidP="00112007">
            <w:pPr>
              <w:spacing w:after="0"/>
              <w:jc w:val="both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12007">
              <w:rPr>
                <w:rFonts w:cstheme="minorHAnsi"/>
                <w:noProof/>
                <w:sz w:val="18"/>
                <w:szCs w:val="18"/>
                <w:lang w:eastAsia="fr-FR"/>
              </w:rPr>
              <w:t>En principe, si l’</w:t>
            </w:r>
            <w:r>
              <w:rPr>
                <w:rFonts w:cstheme="minorHAnsi"/>
                <w:noProof/>
                <w:sz w:val="18"/>
                <w:szCs w:val="18"/>
                <w:lang w:eastAsia="fr-FR"/>
              </w:rPr>
              <w:t>investissement</w:t>
            </w:r>
            <w:r w:rsidRPr="00112007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 est acheté en vue d’une utilisation exclusive pour les actions du projet, </w:t>
            </w:r>
            <w:r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et </w:t>
            </w:r>
            <w:r w:rsidRPr="00112007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pendant la période prévue </w:t>
            </w:r>
            <w:r>
              <w:rPr>
                <w:rFonts w:cstheme="minorHAnsi"/>
                <w:noProof/>
                <w:sz w:val="18"/>
                <w:szCs w:val="18"/>
                <w:lang w:eastAsia="fr-FR"/>
              </w:rPr>
              <w:t>pour le projet</w:t>
            </w:r>
            <w:r w:rsidRPr="00112007">
              <w:rPr>
                <w:rFonts w:cstheme="minorHAnsi"/>
                <w:noProof/>
                <w:sz w:val="18"/>
                <w:szCs w:val="18"/>
                <w:lang w:eastAsia="fr-FR"/>
              </w:rPr>
              <w:t>, les frais d’acquisition sont éligibles dans leur totalité.</w:t>
            </w:r>
            <w:r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 Toutefois, s</w:t>
            </w:r>
            <w:r w:rsidRPr="00112007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i les </w:t>
            </w:r>
            <w:r>
              <w:rPr>
                <w:rFonts w:cstheme="minorHAnsi"/>
                <w:noProof/>
                <w:sz w:val="18"/>
                <w:szCs w:val="18"/>
                <w:lang w:eastAsia="fr-FR"/>
              </w:rPr>
              <w:t>investiss</w:t>
            </w:r>
            <w:r w:rsidRPr="00112007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ements sont utilisés pour une durée supérieure à celle prévue </w:t>
            </w:r>
            <w:r>
              <w:rPr>
                <w:rFonts w:cstheme="minorHAnsi"/>
                <w:noProof/>
                <w:sz w:val="18"/>
                <w:szCs w:val="18"/>
                <w:lang w:eastAsia="fr-FR"/>
              </w:rPr>
              <w:t>pour le projet</w:t>
            </w:r>
            <w:r w:rsidRPr="00112007">
              <w:rPr>
                <w:rFonts w:cstheme="minorHAnsi"/>
                <w:noProof/>
                <w:sz w:val="18"/>
                <w:szCs w:val="18"/>
                <w:lang w:eastAsia="fr-FR"/>
              </w:rPr>
              <w:t>, seules les dépenses d’amortissement sont retenues</w:t>
            </w:r>
            <w:r>
              <w:rPr>
                <w:rFonts w:cstheme="minorHAnsi"/>
                <w:noProof/>
                <w:sz w:val="18"/>
                <w:szCs w:val="18"/>
                <w:lang w:eastAsia="fr-FR"/>
              </w:rPr>
              <w:t>, au prarata de la durée du projet</w:t>
            </w:r>
            <w:r w:rsidRPr="00112007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. </w:t>
            </w:r>
            <w:r>
              <w:rPr>
                <w:rFonts w:cstheme="minorHAnsi"/>
                <w:noProof/>
                <w:sz w:val="18"/>
                <w:szCs w:val="18"/>
                <w:lang w:eastAsia="fr-FR"/>
              </w:rPr>
              <w:t>Celles-ci</w:t>
            </w:r>
            <w:r w:rsidRPr="00112007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 ne pourront se cumuler aux dépenses d’achat du bien.</w:t>
            </w:r>
            <w:r w:rsidR="00DC663E" w:rsidRPr="001831DB">
              <w:rPr>
                <w:rFonts w:cstheme="minorHAnsi"/>
                <w:b/>
                <w:noProof/>
                <w:sz w:val="18"/>
                <w:szCs w:val="18"/>
                <w:lang w:eastAsia="fr-FR"/>
              </w:rPr>
              <w:t>- Crédit-bail</w:t>
            </w:r>
            <w:r w:rsidR="00DC663E"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 : indiquer le coût total d’achat de la machine. Veiller à ce que le crédit-bailleur soit bien renseigné comme un autre porteur dans l’onglet 1-Porteur. L’aide sera versée au crédit-bailleur</w:t>
            </w:r>
            <w:r w:rsidR="003B5B9D"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 puis reversée au bénéficiaire </w:t>
            </w:r>
            <w:r w:rsidR="00DC663E"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sous forme de réduction des loyers. Les dépenses en crédit-bail doivent figurer dans un sous-poste obligatoirement (séparation des dépenses crédit-bail et des dépenses hors crédit-bail).</w:t>
            </w:r>
            <w:r w:rsidR="003B5B9D"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 Le bénéficiaire devra obligatoirement se porter acquéreur du matériel à l’issue du contrat de crédit-bail.</w:t>
            </w:r>
          </w:p>
          <w:p w14:paraId="178FAE5B" w14:textId="438DAA3C" w:rsidR="00DC663E" w:rsidRPr="001831DB" w:rsidRDefault="00DC663E" w:rsidP="003D48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b/>
                <w:noProof/>
                <w:sz w:val="18"/>
                <w:szCs w:val="18"/>
                <w:lang w:eastAsia="fr-FR"/>
              </w:rPr>
              <w:t>- Matériel d’occasion</w:t>
            </w:r>
            <w:r w:rsidR="00E310BA" w:rsidRPr="001831DB">
              <w:rPr>
                <w:rFonts w:cstheme="minorHAnsi"/>
                <w:b/>
                <w:noProof/>
                <w:sz w:val="18"/>
                <w:szCs w:val="18"/>
                <w:lang w:eastAsia="fr-FR"/>
              </w:rPr>
              <w:t xml:space="preserve"> ou reconditionné</w:t>
            </w: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 : éligible sous conditions (</w:t>
            </w:r>
            <w:r w:rsidR="00E310BA"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voir pièces à fournir dans la </w:t>
            </w:r>
            <w:hyperlink r:id="rId6" w:history="1">
              <w:r w:rsidR="00E310BA" w:rsidRPr="003D486B">
                <w:rPr>
                  <w:rStyle w:val="Lienhypertexte"/>
                  <w:rFonts w:cstheme="minorHAnsi"/>
                  <w:noProof/>
                  <w:sz w:val="18"/>
                  <w:szCs w:val="18"/>
                  <w:lang w:eastAsia="fr-FR"/>
                </w:rPr>
                <w:t>liste des pièces</w:t>
              </w:r>
            </w:hyperlink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).</w:t>
            </w:r>
          </w:p>
        </w:tc>
      </w:tr>
      <w:tr w:rsidR="00DC663E" w:rsidRPr="00D32CB7" w14:paraId="77ACC40F" w14:textId="7E20A4A8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97CFC" w14:textId="2BA5A89C" w:rsidR="00DC663E" w:rsidRPr="00DC663E" w:rsidRDefault="0016785F" w:rsidP="00DC66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020 </w:t>
            </w:r>
            <w:r w:rsidR="00DC663E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d'Investissement matériel et immatériel sous forme de coût unitaire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9CBCC" w14:textId="56CB4BD2" w:rsidR="00DC663E" w:rsidRPr="001831DB" w:rsidRDefault="005C5486" w:rsidP="001D1C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Ne pas utiliser</w:t>
            </w:r>
          </w:p>
        </w:tc>
      </w:tr>
      <w:tr w:rsidR="00DC663E" w:rsidRPr="00D32CB7" w14:paraId="6F3BE3D4" w14:textId="20EC3A3C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EA5E99" w14:textId="0D4228BD" w:rsidR="00DC663E" w:rsidRPr="00DC663E" w:rsidRDefault="0016785F" w:rsidP="00DC66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030 </w:t>
            </w:r>
            <w:r w:rsidR="00DC663E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d'Investissement matériel et immatériel sous forme de montant forfaitaire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2E392" w14:textId="5A23AAE8" w:rsidR="00DC663E" w:rsidRPr="001831DB" w:rsidRDefault="005C5486" w:rsidP="001D1C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Ne pas utiliser</w:t>
            </w:r>
          </w:p>
        </w:tc>
      </w:tr>
      <w:tr w:rsidR="0016785F" w:rsidRPr="00D32CB7" w14:paraId="0485C57B" w14:textId="77777777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5890" w14:textId="3E2199C0" w:rsidR="0016785F" w:rsidRDefault="0016785F" w:rsidP="00DC66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040 </w:t>
            </w:r>
            <w:r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d'amortissement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C7C5" w14:textId="77777777" w:rsidR="0016785F" w:rsidRPr="001831DB" w:rsidRDefault="0016785F" w:rsidP="0016785F">
            <w:pPr>
              <w:spacing w:after="0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Sont éligibles les dotations aux amortissements des actifs (classe comptable 6811 uniquement : dotations aux amortissements immobilisations corporelles et incorporelles) et uniquement sur la durée du projet.</w:t>
            </w:r>
          </w:p>
          <w:p w14:paraId="1E5D8360" w14:textId="7A1DAD1A" w:rsidR="0016785F" w:rsidRPr="001831DB" w:rsidRDefault="0016785F" w:rsidP="0016785F">
            <w:pPr>
              <w:spacing w:after="0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Dans le cas d’un actif amorti sur une durée supérieure à la durée de réalisation du projet, il est nécessaire d’effectuer un prorata temporis. A noter que dans ce cas, l’achat ne pourra pas être financé via le poste de dépenses « Dépenses d'Investissement matériel et immatériel ».</w:t>
            </w:r>
          </w:p>
        </w:tc>
      </w:tr>
      <w:tr w:rsidR="00DC663E" w:rsidRPr="00D32CB7" w14:paraId="0689C0D2" w14:textId="35610E5D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2A75" w14:textId="2A143258" w:rsidR="00DC663E" w:rsidRPr="00DC663E" w:rsidRDefault="0016785F" w:rsidP="00DC66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678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050 Frais de personnel directs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3B03" w14:textId="509BA06D" w:rsidR="0016785F" w:rsidRPr="001831DB" w:rsidRDefault="0016785F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Correspond aux catégories de coûts suivants :</w:t>
            </w:r>
          </w:p>
          <w:p w14:paraId="1556F7D7" w14:textId="56CC537F" w:rsidR="0016785F" w:rsidRPr="001831DB" w:rsidRDefault="0016785F" w:rsidP="0016785F">
            <w:pPr>
              <w:pStyle w:val="Paragraphedeliste"/>
              <w:numPr>
                <w:ilvl w:val="0"/>
                <w:numId w:val="2"/>
              </w:numPr>
              <w:spacing w:after="0"/>
              <w:ind w:left="361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Dépenses de personnel interne de la structure </w:t>
            </w:r>
            <w:r w:rsidRPr="001831DB">
              <w:rPr>
                <w:rFonts w:cstheme="minorHAnsi"/>
                <w:noProof/>
                <w:sz w:val="18"/>
                <w:szCs w:val="18"/>
                <w:u w:val="single"/>
                <w:lang w:eastAsia="fr-FR"/>
              </w:rPr>
              <w:t>directement affecté à la réalisation de l’opération </w:t>
            </w: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: il convient d’inscrire à la fois le montant global des dépenses de personnel et le détail sous forme de sous-postes (un sous-poste par salarié / agent) ;</w:t>
            </w:r>
          </w:p>
          <w:p w14:paraId="446EA635" w14:textId="1E684A6B" w:rsidR="0016785F" w:rsidRPr="001831DB" w:rsidRDefault="0016785F" w:rsidP="0016785F">
            <w:pPr>
              <w:pStyle w:val="Paragraphedeliste"/>
              <w:numPr>
                <w:ilvl w:val="0"/>
                <w:numId w:val="2"/>
              </w:numPr>
              <w:spacing w:after="0"/>
              <w:ind w:left="361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Prestations de personnel (intérimaires, formateurs, etc.), en les inscrivant dans un sous-poste (un sous-poste par personnel presté) ;</w:t>
            </w:r>
          </w:p>
          <w:p w14:paraId="6770D3B5" w14:textId="4CA051E2" w:rsidR="00DC663E" w:rsidRPr="001831DB" w:rsidRDefault="0016785F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Mise à disposition de personnel à titre onéreux (un sous-poste par personnel mis à disposition).</w:t>
            </w:r>
          </w:p>
        </w:tc>
      </w:tr>
      <w:tr w:rsidR="001831DB" w:rsidRPr="00D32CB7" w14:paraId="55642339" w14:textId="77777777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DD484" w14:textId="63DC1A68" w:rsidR="001831DB" w:rsidRPr="00DC663E" w:rsidRDefault="001831DB" w:rsidP="00DC66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060 </w:t>
            </w:r>
            <w:r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Frais de personnel directs au taux plafonné à 20 % des coûts directs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ED167" w14:textId="1714062F" w:rsidR="001831DB" w:rsidRPr="001831DB" w:rsidRDefault="001831DB" w:rsidP="001D1C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Ne pas utiliser</w:t>
            </w:r>
          </w:p>
        </w:tc>
      </w:tr>
      <w:tr w:rsidR="001831DB" w:rsidRPr="00D32CB7" w14:paraId="1C68BC6C" w14:textId="6E76C35B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E47F" w14:textId="0DEDE9B7" w:rsidR="001831DB" w:rsidRPr="00DC663E" w:rsidRDefault="001831DB" w:rsidP="00DC66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050 </w:t>
            </w:r>
            <w:r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Frais de personnel </w:t>
            </w:r>
            <w:r w:rsidRPr="00DC663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directs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760" w14:textId="77777777" w:rsidR="001831DB" w:rsidRPr="001831DB" w:rsidRDefault="001831DB" w:rsidP="001D1C3A">
            <w:pPr>
              <w:spacing w:after="0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Correspond aux catégories de coûts suivants :</w:t>
            </w:r>
          </w:p>
          <w:p w14:paraId="1600EC70" w14:textId="77777777" w:rsidR="001831DB" w:rsidRPr="001831DB" w:rsidRDefault="001831DB" w:rsidP="001D1C3A">
            <w:pPr>
              <w:pStyle w:val="Paragraphedeliste"/>
              <w:numPr>
                <w:ilvl w:val="0"/>
                <w:numId w:val="2"/>
              </w:numPr>
              <w:spacing w:after="0"/>
              <w:ind w:left="361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dépenses de personnel interne de la structure </w:t>
            </w:r>
            <w:r w:rsidRPr="001831DB">
              <w:rPr>
                <w:rFonts w:cstheme="minorHAnsi"/>
                <w:noProof/>
                <w:sz w:val="18"/>
                <w:szCs w:val="18"/>
                <w:u w:val="single"/>
                <w:lang w:eastAsia="fr-FR"/>
              </w:rPr>
              <w:t>directement affecté à la réalisation de l’opération </w:t>
            </w: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: il convient d’inscrire à la fois le montant global des dépenses de personnel et le détail sous forme de sous-postes (un sous-poste par salarié / agent) ;</w:t>
            </w:r>
          </w:p>
          <w:p w14:paraId="3C7B4101" w14:textId="77777777" w:rsidR="001831DB" w:rsidRPr="001831DB" w:rsidRDefault="001831DB" w:rsidP="001D1C3A">
            <w:pPr>
              <w:pStyle w:val="Paragraphedeliste"/>
              <w:numPr>
                <w:ilvl w:val="0"/>
                <w:numId w:val="2"/>
              </w:numPr>
              <w:spacing w:after="0"/>
              <w:ind w:left="361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prestations de personnel (intérimaires, formateurs, etc.), en les inscrivant dans un sous-poste (un sous-poste par personnel presté) ;</w:t>
            </w:r>
          </w:p>
          <w:p w14:paraId="5D317CE2" w14:textId="5F79A5AB" w:rsidR="001831DB" w:rsidRPr="001831DB" w:rsidRDefault="001831DB" w:rsidP="001D1C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Mise à disposition de personnel à titre onéreux (un sous-poste par personnel mis à disposition).</w:t>
            </w:r>
          </w:p>
        </w:tc>
      </w:tr>
      <w:tr w:rsidR="001831DB" w:rsidRPr="00D32CB7" w14:paraId="259572A2" w14:textId="4E90C9A2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113E71" w14:textId="7B2BD477" w:rsidR="001831DB" w:rsidRPr="00DC663E" w:rsidRDefault="001831DB" w:rsidP="00DC66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060 </w:t>
            </w:r>
            <w:r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Frais de personnel directs au taux plafonné à 20 % des coûts directs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43C65" w14:textId="4DC75BFE" w:rsidR="001831DB" w:rsidRPr="001831DB" w:rsidRDefault="001831DB" w:rsidP="001D1C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  <w:t>Ne pas utiliser</w:t>
            </w:r>
          </w:p>
        </w:tc>
      </w:tr>
      <w:tr w:rsidR="001831DB" w:rsidRPr="00D32CB7" w14:paraId="7EFC9865" w14:textId="77777777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7E81DA" w14:textId="4255B1AE" w:rsidR="001831DB" w:rsidRPr="00CD3CF3" w:rsidRDefault="00C708AE" w:rsidP="00465B8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CD3CF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070</w:t>
            </w:r>
            <w:r w:rsidR="001F5D5C" w:rsidRPr="00CD3CF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D3CF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Frais de personnel directs sous forme de coûts unitaires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8694E" w14:textId="2C9EE1C5" w:rsidR="001831DB" w:rsidRPr="00C708AE" w:rsidRDefault="00CD3CF3" w:rsidP="00465B8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  <w:t>Ne pas utiliser</w:t>
            </w:r>
          </w:p>
        </w:tc>
      </w:tr>
      <w:tr w:rsidR="001831DB" w:rsidRPr="00D32CB7" w14:paraId="6777CFA9" w14:textId="77777777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08DAC1" w14:textId="26C33CFE" w:rsidR="001831DB" w:rsidRPr="00CD3CF3" w:rsidRDefault="00C708AE" w:rsidP="00465B8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CD3CF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080</w:t>
            </w:r>
            <w:r w:rsidR="001F5D5C" w:rsidRPr="00CD3CF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D3CF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Frais de personnel sous forme de montant forfaitaire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D1266" w14:textId="75546C06" w:rsidR="001831DB" w:rsidRPr="001831DB" w:rsidRDefault="00CD3CF3" w:rsidP="00465B8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  <w:t>Ne pas utiliser</w:t>
            </w:r>
          </w:p>
        </w:tc>
      </w:tr>
      <w:tr w:rsidR="001831DB" w:rsidRPr="00D32CB7" w14:paraId="2A129766" w14:textId="77777777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A34EA3" w14:textId="16287063" w:rsidR="001831DB" w:rsidRDefault="001831DB" w:rsidP="00465B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090</w:t>
            </w:r>
            <w:r w:rsidR="001F5D5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D32CB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Coûts indirects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C75DD" w14:textId="12F06193" w:rsidR="001831DB" w:rsidRPr="001831DB" w:rsidRDefault="001831DB" w:rsidP="00465B8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  <w:t>Ne pas utiliser</w:t>
            </w:r>
          </w:p>
        </w:tc>
      </w:tr>
    </w:tbl>
    <w:p w14:paraId="72EDFE75" w14:textId="77777777" w:rsidR="003D486B" w:rsidRDefault="003D486B">
      <w:r>
        <w:br w:type="page"/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7371"/>
      </w:tblGrid>
      <w:tr w:rsidR="001831DB" w:rsidRPr="00D32CB7" w14:paraId="1D84AB9E" w14:textId="77777777" w:rsidTr="003D486B">
        <w:trPr>
          <w:trHeight w:val="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366D" w14:textId="28878B0B" w:rsidR="001831DB" w:rsidRPr="00DC663E" w:rsidRDefault="001831DB" w:rsidP="00465B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100 </w:t>
            </w:r>
            <w:r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Coûts indirects - taux forfaitaire max de 7 % des coûts directs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9A1" w14:textId="77777777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  <w:t xml:space="preserve">A utiliser pour les appels à projets ou fiches-actions concernés. </w:t>
            </w:r>
          </w:p>
          <w:p w14:paraId="17C6B343" w14:textId="77777777" w:rsidR="001831DB" w:rsidRPr="001831DB" w:rsidRDefault="001831DB" w:rsidP="0016785F">
            <w:pPr>
              <w:spacing w:after="0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Les dépenses indirectes sont l’ensemble des coûts </w:t>
            </w:r>
            <w:r w:rsidRPr="001831DB">
              <w:rPr>
                <w:rFonts w:cstheme="minorHAnsi"/>
                <w:noProof/>
                <w:sz w:val="18"/>
                <w:szCs w:val="18"/>
                <w:u w:val="single"/>
                <w:lang w:eastAsia="fr-FR"/>
              </w:rPr>
              <w:t>qui ne peuvent pas être rattachés directement à l’opération</w:t>
            </w: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. Ils ne sont donc pas « individualisables » et ni directement imputables à l’action (par exemple, frais de téléphone, d’électricité, fluides, frais liés aux bâtiments administratifs, frais postaux, carburants…).</w:t>
            </w:r>
          </w:p>
          <w:p w14:paraId="3FC5ACD8" w14:textId="6549BAA9" w:rsidR="001831DB" w:rsidRPr="001831DB" w:rsidRDefault="001831DB" w:rsidP="00465B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Ces dépenses sont calculées par l’application d’un forfait de 7% basé sur les coûts directs éligibles</w:t>
            </w:r>
            <w:r w:rsidR="00CD3CF3">
              <w:rPr>
                <w:rFonts w:cstheme="minorHAnsi"/>
                <w:noProof/>
                <w:sz w:val="18"/>
                <w:szCs w:val="18"/>
                <w:lang w:eastAsia="fr-FR"/>
              </w:rPr>
              <w:t>.</w:t>
            </w:r>
          </w:p>
        </w:tc>
      </w:tr>
      <w:tr w:rsidR="001831DB" w:rsidRPr="00D32CB7" w14:paraId="5C9D1FBC" w14:textId="08DDC1CA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4CF" w14:textId="5B20D301" w:rsidR="001831DB" w:rsidRPr="00DC663E" w:rsidRDefault="001831DB" w:rsidP="00DC66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110 </w:t>
            </w:r>
            <w:r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Coûts indirects - taux forfaitaire max de 15 % des frais de personnel directs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AE3" w14:textId="77777777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  <w:t xml:space="preserve">A utiliser pour les appels à projets ou fiches-actions concernés. </w:t>
            </w:r>
          </w:p>
          <w:p w14:paraId="79E08088" w14:textId="77777777" w:rsidR="001831DB" w:rsidRPr="001831DB" w:rsidRDefault="001831DB" w:rsidP="0016785F">
            <w:pPr>
              <w:spacing w:after="0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Les dépenses indirectes sont l’ensemble des coûts </w:t>
            </w:r>
            <w:r w:rsidRPr="001831DB">
              <w:rPr>
                <w:rFonts w:cstheme="minorHAnsi"/>
                <w:noProof/>
                <w:sz w:val="18"/>
                <w:szCs w:val="18"/>
                <w:u w:val="single"/>
                <w:lang w:eastAsia="fr-FR"/>
              </w:rPr>
              <w:t>qui ne peuvent pas être rattachés directement à l’opération</w:t>
            </w: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. Ils ne sont donc pas « individualisables » et ni directement imputables à l’action (par exemple, frais de téléphone, d’électricité, fluides, frais liés aux bâtiments administratifs, frais postaux, carburants…).</w:t>
            </w:r>
          </w:p>
          <w:p w14:paraId="3E6026B8" w14:textId="34AFD8D8" w:rsidR="001831DB" w:rsidRPr="001831DB" w:rsidRDefault="001831DB" w:rsidP="001D1C3A">
            <w:pPr>
              <w:pStyle w:val="Paragraphedeliste"/>
              <w:numPr>
                <w:ilvl w:val="0"/>
                <w:numId w:val="2"/>
              </w:numPr>
              <w:spacing w:after="0"/>
              <w:ind w:left="361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Ces dépenses sont calculées par l’application d’un forfait de 15% basé sur les frais de personnel directs éligibles.</w:t>
            </w:r>
          </w:p>
        </w:tc>
      </w:tr>
      <w:tr w:rsidR="001831DB" w:rsidRPr="00D32CB7" w14:paraId="4FBF3E08" w14:textId="77777777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15C485" w14:textId="154BC34E" w:rsidR="001831DB" w:rsidRDefault="001831DB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31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120 Coûts indirects - taux forfaitaire max de 25 % des coûts directs éligibles avec méthode de calcul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0D604" w14:textId="0847754B" w:rsidR="001831DB" w:rsidRPr="001831DB" w:rsidRDefault="001831DB" w:rsidP="001678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Ne pas utiliser</w:t>
            </w:r>
          </w:p>
        </w:tc>
      </w:tr>
      <w:tr w:rsidR="001831DB" w:rsidRPr="00D32CB7" w14:paraId="6A2E7D97" w14:textId="09BA2D80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56ED" w14:textId="16903711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130 </w:t>
            </w:r>
            <w:r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Coûts éligibles restants - taux forfaitaire max de 40 % des frais de personnel directs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B09" w14:textId="77777777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  <w:t xml:space="preserve">A utiliser pour les appels à projets ou fiches-actions concernés. </w:t>
            </w:r>
          </w:p>
          <w:p w14:paraId="45ED75D2" w14:textId="77777777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Une seule catégorie de dépenses peut être sélectionnée en complément de celle-ci : « frais de personnel directs » </w:t>
            </w:r>
          </w:p>
          <w:p w14:paraId="46703402" w14:textId="41CDD30E" w:rsidR="001831DB" w:rsidRPr="001831DB" w:rsidRDefault="001831DB" w:rsidP="001678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Le forfait de 40% représente tous les autres coûts directs et indirects de l’opération, en complément des dépenses de personnel directes sur lesquelles ce forfait s’appuie.</w:t>
            </w:r>
          </w:p>
        </w:tc>
      </w:tr>
      <w:tr w:rsidR="001831DB" w:rsidRPr="00D32CB7" w14:paraId="3037A698" w14:textId="59880685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C3D" w14:textId="359D55B4" w:rsidR="001831DB" w:rsidRPr="00DC663E" w:rsidRDefault="001831DB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140 </w:t>
            </w:r>
            <w:r w:rsidRPr="00DC663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Dépenses de prestations </w:t>
            </w:r>
            <w:r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externes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1C46" w14:textId="77777777" w:rsidR="001831DB" w:rsidRPr="001831DB" w:rsidRDefault="001831DB" w:rsidP="0016785F">
            <w:pPr>
              <w:spacing w:after="0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Concerne les prestations nécessaires à la mise en œuvre de l’opération. </w:t>
            </w:r>
          </w:p>
          <w:p w14:paraId="08FC63CD" w14:textId="77777777" w:rsidR="001831DB" w:rsidRPr="001831DB" w:rsidRDefault="001831DB" w:rsidP="0016785F">
            <w:pPr>
              <w:spacing w:after="0"/>
              <w:rPr>
                <w:rFonts w:cstheme="minorHAnsi"/>
                <w:i/>
                <w:iCs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i/>
                <w:iCs/>
                <w:noProof/>
                <w:sz w:val="18"/>
                <w:szCs w:val="18"/>
                <w:lang w:eastAsia="fr-FR"/>
              </w:rPr>
              <w:t xml:space="preserve">Attention, les dépenses de </w:t>
            </w:r>
            <w:r w:rsidRPr="001831DB">
              <w:rPr>
                <w:rFonts w:cstheme="minorHAnsi"/>
                <w:i/>
                <w:iCs/>
                <w:noProof/>
                <w:sz w:val="18"/>
                <w:szCs w:val="18"/>
                <w:u w:val="single"/>
                <w:lang w:eastAsia="fr-FR"/>
              </w:rPr>
              <w:t>travaux</w:t>
            </w:r>
            <w:r w:rsidRPr="001831DB">
              <w:rPr>
                <w:rFonts w:cstheme="minorHAnsi"/>
                <w:i/>
                <w:iCs/>
                <w:noProof/>
                <w:sz w:val="18"/>
                <w:szCs w:val="18"/>
                <w:lang w:eastAsia="fr-FR"/>
              </w:rPr>
              <w:t xml:space="preserve"> doivent être saisies dans la catégorie « dépenses d’investissement matériel et immatériel ».</w:t>
            </w:r>
          </w:p>
          <w:p w14:paraId="558D760E" w14:textId="77777777" w:rsidR="001831DB" w:rsidRPr="001831DB" w:rsidRDefault="001831DB" w:rsidP="0016785F">
            <w:pPr>
              <w:spacing w:after="0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Si la prestation couvre également des dépenses inéligibles à l’aide européenne, indiquer seulement les dépenses concernant directement le projet.</w:t>
            </w:r>
          </w:p>
          <w:p w14:paraId="526EF555" w14:textId="2EF6D4F9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Les prestations correspondant à des dépenses de personnel peuvent être saisies dans la catégorie « frais de personnel directs » à la condition que les mentions obligatoires figurent sur les factures (identité intervenant, nb heures, coût horaire, etc.). </w:t>
            </w:r>
          </w:p>
        </w:tc>
      </w:tr>
      <w:tr w:rsidR="001831DB" w:rsidRPr="00D32CB7" w14:paraId="0AAA7532" w14:textId="05C68FA1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EE52A" w14:textId="6FED9BA7" w:rsidR="001831DB" w:rsidRPr="00DC663E" w:rsidRDefault="00C708AE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150 </w:t>
            </w:r>
            <w:r w:rsidR="001831DB" w:rsidRPr="00DC663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  <w:t>Dépenses de prestations externes sous forme de coûts unitaires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0CD7C" w14:textId="77F1A91C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  <w:t>Ne pas utiliser</w:t>
            </w:r>
          </w:p>
        </w:tc>
      </w:tr>
      <w:tr w:rsidR="001831DB" w:rsidRPr="00D32CB7" w14:paraId="74EF4420" w14:textId="4157D827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5EB915" w14:textId="09793787" w:rsidR="001831DB" w:rsidRPr="00DC663E" w:rsidRDefault="00C708AE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160 </w:t>
            </w:r>
            <w:r w:rsidR="001831DB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de l'opération intégralement couvertes par des coûts unitaires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C1C4B" w14:textId="30899A8F" w:rsidR="001831DB" w:rsidRPr="001831DB" w:rsidRDefault="001831DB" w:rsidP="0016785F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Ne pas utiliser</w:t>
            </w:r>
          </w:p>
        </w:tc>
      </w:tr>
      <w:tr w:rsidR="00C708AE" w:rsidRPr="00D32CB7" w14:paraId="442BC05C" w14:textId="77777777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6F6554" w14:textId="0A53F237" w:rsidR="00C708AE" w:rsidRPr="00DC663E" w:rsidRDefault="00C708AE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170 </w:t>
            </w:r>
            <w:r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Dépenses de l'opération intégralement couvertes par des </w:t>
            </w:r>
            <w:r w:rsidR="001F5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montants forfaitaires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EF3CC" w14:textId="74E9D253" w:rsidR="00C708AE" w:rsidRPr="001831DB" w:rsidRDefault="001F5D5C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Ne pas utiliser</w:t>
            </w:r>
          </w:p>
        </w:tc>
      </w:tr>
      <w:tr w:rsidR="001831DB" w:rsidRPr="00D32CB7" w14:paraId="4465CA51" w14:textId="05A65812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15763D" w14:textId="3EEA6132" w:rsidR="001831DB" w:rsidRPr="00DC663E" w:rsidRDefault="001F5D5C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180 </w:t>
            </w:r>
            <w:r w:rsidR="001831DB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de fonctionnement (frais généraux de structure)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D5074" w14:textId="3304E7A9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Ne pas utiliser – inclus dans les catégories de dépenses relatives aux coûts indirects calculés à l’aide d’un taux forfaitaire de 7, 15 ou 40 %</w:t>
            </w:r>
          </w:p>
        </w:tc>
      </w:tr>
      <w:tr w:rsidR="001831DB" w:rsidRPr="00D32CB7" w14:paraId="3850AAAE" w14:textId="1D544889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F5C32" w14:textId="517FD5FC" w:rsidR="001831DB" w:rsidRPr="00DC663E" w:rsidRDefault="001F5D5C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190 </w:t>
            </w:r>
            <w:r w:rsidR="001831DB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liées aux participants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73CE" w14:textId="615EFE19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Ne pas utiliser</w:t>
            </w:r>
          </w:p>
        </w:tc>
      </w:tr>
      <w:tr w:rsidR="001831DB" w:rsidRPr="00D32CB7" w14:paraId="56BA5F9D" w14:textId="5FBA7CFA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97C0" w14:textId="3041129E" w:rsidR="001831DB" w:rsidRPr="00DC663E" w:rsidRDefault="001F5D5C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200 </w:t>
            </w:r>
            <w:r w:rsidR="001831DB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en nature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C0CB" w14:textId="77777777" w:rsidR="001831DB" w:rsidRPr="001831DB" w:rsidRDefault="001831DB" w:rsidP="0016785F">
            <w:pPr>
              <w:spacing w:after="0"/>
              <w:jc w:val="both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Caractéristiques des dépenses (contributions) en nature :</w:t>
            </w:r>
          </w:p>
          <w:p w14:paraId="1551FB3F" w14:textId="77777777" w:rsidR="001831DB" w:rsidRPr="001831DB" w:rsidRDefault="001831DB" w:rsidP="0016785F">
            <w:pPr>
              <w:spacing w:after="0"/>
              <w:jc w:val="both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- elles consistent en l’apport de terrain, bien immeuble, bien d’équipement, matériaux, fournitures, activité de recherche, activité professionnelle ou travail bénévole</w:t>
            </w:r>
          </w:p>
          <w:p w14:paraId="05206F04" w14:textId="77777777" w:rsidR="001831DB" w:rsidRPr="001831DB" w:rsidRDefault="001831DB" w:rsidP="0016785F">
            <w:pPr>
              <w:spacing w:after="0"/>
              <w:jc w:val="both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- elles ne doivent faire l’objet d’aucun paiement en numéraire supporté par le bénéficiaire et attesté par des factures ou d’autres documents de valeur probante équivalente</w:t>
            </w:r>
          </w:p>
          <w:p w14:paraId="484F98BC" w14:textId="77777777" w:rsidR="001831DB" w:rsidRPr="001831DB" w:rsidRDefault="001831DB" w:rsidP="0016785F">
            <w:pPr>
              <w:spacing w:after="0"/>
              <w:jc w:val="both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- leur valeur ne doit pas dépasser pas les coûts généralement admis sur le marché concerné</w:t>
            </w:r>
          </w:p>
          <w:p w14:paraId="30A34B8D" w14:textId="77777777" w:rsidR="001831DB" w:rsidRPr="001831DB" w:rsidRDefault="001831DB" w:rsidP="0016785F">
            <w:pPr>
              <w:spacing w:after="0"/>
              <w:jc w:val="both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- elles sont présentées en équilibre en dépenses et en ressources dans le plan de financement (se fait automatiquement dans Synergie) </w:t>
            </w:r>
          </w:p>
          <w:p w14:paraId="1059662E" w14:textId="03961F3E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- le montant des aides publiques versées au titre de l’opération ne doit pas dépasser le montant total des dépenses éligibles, déduction faite du montant de la contribution en nature</w:t>
            </w:r>
          </w:p>
        </w:tc>
      </w:tr>
      <w:tr w:rsidR="001831DB" w:rsidRPr="00D32CB7" w14:paraId="71645FCA" w14:textId="50B1A0A4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316" w14:textId="4B740AB8" w:rsidR="001831DB" w:rsidRPr="00DC663E" w:rsidRDefault="001F5D5C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210 </w:t>
            </w:r>
            <w:r w:rsidR="001831DB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de communication de l'opération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AAE" w14:textId="0468F7D0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Concerne les dépenses de communication de l’opération, y compris les dépenses permettant de satisfaire aux obligations de publicité de l’aide européenne (plaque, affiches, supports de communication…).</w:t>
            </w:r>
          </w:p>
        </w:tc>
      </w:tr>
      <w:tr w:rsidR="001831DB" w:rsidRPr="00D32CB7" w14:paraId="6A164822" w14:textId="6676DCA6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CF8E" w14:textId="3DCC0E15" w:rsidR="001831DB" w:rsidRPr="00DC663E" w:rsidRDefault="001F5D5C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220 </w:t>
            </w:r>
            <w:r w:rsidR="001831DB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de déplacement, de restauration, d'hébergement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B9B" w14:textId="77777777" w:rsidR="001831DB" w:rsidRPr="001831DB" w:rsidRDefault="001831DB" w:rsidP="0016785F">
            <w:pPr>
              <w:spacing w:after="0"/>
              <w:rPr>
                <w:rFonts w:cstheme="minorHAnsi"/>
                <w:noProof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Concerne les frais de déplacement des personnes impliquées directement dans la mise en œuvre du projet et valorisées dans le poste de dépenses « Frais de personnel directs ».</w:t>
            </w:r>
          </w:p>
          <w:p w14:paraId="78FBCB88" w14:textId="270EC21B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Des justificatifs (ordre de mission, convocation, compte-rendu de réunion, factures et tickets, état liquidatif prouvant le remboursement à l’agent…) devront être fournis au moment du paiement.</w:t>
            </w:r>
          </w:p>
        </w:tc>
      </w:tr>
      <w:tr w:rsidR="001831DB" w:rsidRPr="00D32CB7" w14:paraId="16E87964" w14:textId="6EBC0A94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DA407A" w14:textId="58452248" w:rsidR="001831DB" w:rsidRPr="00DC663E" w:rsidRDefault="001F5D5C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230 </w:t>
            </w:r>
            <w:r w:rsidR="001831DB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Dépenses liées aux échanges électroniques de données dématérialisés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EB871" w14:textId="1D8D08FF" w:rsidR="001831DB" w:rsidRPr="001831DB" w:rsidRDefault="001831DB" w:rsidP="001678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Ne pas utiliser</w:t>
            </w:r>
          </w:p>
        </w:tc>
      </w:tr>
      <w:tr w:rsidR="001831DB" w:rsidRPr="00D32CB7" w14:paraId="759FFE0A" w14:textId="67269772" w:rsidTr="003D486B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5A88C" w14:textId="6F40F826" w:rsidR="001831DB" w:rsidRPr="00DC663E" w:rsidRDefault="001F5D5C" w:rsidP="001678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240 </w:t>
            </w:r>
            <w:r w:rsidR="001831DB" w:rsidRPr="00DC6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 dépenses (à spécifier)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CECCB" w14:textId="3DB8B841" w:rsidR="001831DB" w:rsidRPr="001831DB" w:rsidRDefault="001831DB" w:rsidP="0016785F">
            <w:pPr>
              <w:spacing w:after="0"/>
              <w:jc w:val="both"/>
              <w:rPr>
                <w:rFonts w:cstheme="minorHAnsi"/>
                <w:noProof/>
                <w:sz w:val="18"/>
                <w:szCs w:val="18"/>
                <w:highlight w:val="yellow"/>
                <w:lang w:eastAsia="fr-FR"/>
              </w:rPr>
            </w:pP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Utilisation à éviter</w:t>
            </w:r>
            <w:r w:rsidR="00CD3CF3">
              <w:rPr>
                <w:rFonts w:cstheme="minorHAnsi"/>
                <w:noProof/>
                <w:sz w:val="18"/>
                <w:szCs w:val="18"/>
                <w:lang w:eastAsia="fr-FR"/>
              </w:rPr>
              <w:t xml:space="preserve"> : </w:t>
            </w:r>
            <w:r w:rsidRPr="001831DB">
              <w:rPr>
                <w:rFonts w:cstheme="minorHAnsi"/>
                <w:noProof/>
                <w:sz w:val="18"/>
                <w:szCs w:val="18"/>
                <w:lang w:eastAsia="fr-FR"/>
              </w:rPr>
              <w:t>Consulter le service instructeur en cas de besoin.</w:t>
            </w:r>
          </w:p>
        </w:tc>
      </w:tr>
    </w:tbl>
    <w:p w14:paraId="6E6C260F" w14:textId="7390E672" w:rsidR="00DC663E" w:rsidRDefault="00DC663E" w:rsidP="001F5D5C">
      <w:pPr>
        <w:ind w:right="-852"/>
      </w:pPr>
    </w:p>
    <w:sectPr w:rsidR="00DC663E" w:rsidSect="00DC663E">
      <w:pgSz w:w="11906" w:h="16838"/>
      <w:pgMar w:top="993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433F"/>
    <w:multiLevelType w:val="hybridMultilevel"/>
    <w:tmpl w:val="1F3A61B6"/>
    <w:lvl w:ilvl="0" w:tplc="0F7ED6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4331"/>
    <w:multiLevelType w:val="hybridMultilevel"/>
    <w:tmpl w:val="057CA2F8"/>
    <w:lvl w:ilvl="0" w:tplc="040C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46"/>
    <w:rsid w:val="000027A8"/>
    <w:rsid w:val="00055A63"/>
    <w:rsid w:val="000914CF"/>
    <w:rsid w:val="000F07ED"/>
    <w:rsid w:val="00112007"/>
    <w:rsid w:val="001212F1"/>
    <w:rsid w:val="0016785F"/>
    <w:rsid w:val="001831DB"/>
    <w:rsid w:val="001853B4"/>
    <w:rsid w:val="001A3C94"/>
    <w:rsid w:val="001C32E4"/>
    <w:rsid w:val="001D1C3A"/>
    <w:rsid w:val="001E0AEB"/>
    <w:rsid w:val="001F5043"/>
    <w:rsid w:val="001F5D5C"/>
    <w:rsid w:val="00203DE9"/>
    <w:rsid w:val="00290668"/>
    <w:rsid w:val="00294D6F"/>
    <w:rsid w:val="00295120"/>
    <w:rsid w:val="00304A80"/>
    <w:rsid w:val="00325BA0"/>
    <w:rsid w:val="003B5B9D"/>
    <w:rsid w:val="003D4546"/>
    <w:rsid w:val="003D486B"/>
    <w:rsid w:val="003E2391"/>
    <w:rsid w:val="004C7A91"/>
    <w:rsid w:val="00544650"/>
    <w:rsid w:val="00562639"/>
    <w:rsid w:val="00570BA5"/>
    <w:rsid w:val="005B1DC1"/>
    <w:rsid w:val="005C5486"/>
    <w:rsid w:val="006037AA"/>
    <w:rsid w:val="00631600"/>
    <w:rsid w:val="00662C6B"/>
    <w:rsid w:val="0069401A"/>
    <w:rsid w:val="00727D65"/>
    <w:rsid w:val="007523D5"/>
    <w:rsid w:val="00760243"/>
    <w:rsid w:val="00890CFF"/>
    <w:rsid w:val="008B34B0"/>
    <w:rsid w:val="008F6D9C"/>
    <w:rsid w:val="00965F64"/>
    <w:rsid w:val="009F53E2"/>
    <w:rsid w:val="00A15F6F"/>
    <w:rsid w:val="00A2614F"/>
    <w:rsid w:val="00A40868"/>
    <w:rsid w:val="00B046BD"/>
    <w:rsid w:val="00B82E1B"/>
    <w:rsid w:val="00C323C1"/>
    <w:rsid w:val="00C3262E"/>
    <w:rsid w:val="00C53A12"/>
    <w:rsid w:val="00C62576"/>
    <w:rsid w:val="00C708AE"/>
    <w:rsid w:val="00C90358"/>
    <w:rsid w:val="00CC623C"/>
    <w:rsid w:val="00CD3CF3"/>
    <w:rsid w:val="00CE6212"/>
    <w:rsid w:val="00D32CB7"/>
    <w:rsid w:val="00D406CD"/>
    <w:rsid w:val="00D50930"/>
    <w:rsid w:val="00D95F71"/>
    <w:rsid w:val="00DA4B51"/>
    <w:rsid w:val="00DA5A5C"/>
    <w:rsid w:val="00DC663E"/>
    <w:rsid w:val="00E310BA"/>
    <w:rsid w:val="00E65086"/>
    <w:rsid w:val="00E67417"/>
    <w:rsid w:val="00E96554"/>
    <w:rsid w:val="00EC4787"/>
    <w:rsid w:val="00EF2A6F"/>
    <w:rsid w:val="00EF6209"/>
    <w:rsid w:val="00F00E5A"/>
    <w:rsid w:val="00F129B1"/>
    <w:rsid w:val="00F130E1"/>
    <w:rsid w:val="00F3730C"/>
    <w:rsid w:val="00FB44F1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F605"/>
  <w15:docId w15:val="{6CB474B0-4C42-4034-8F2F-7BF59DC8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546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4546"/>
    <w:pPr>
      <w:outlineLvl w:val="3"/>
    </w:pPr>
    <w:rPr>
      <w:rFonts w:eastAsia="Times New Roman"/>
      <w:b/>
      <w:noProof/>
      <w:color w:val="4F81BD" w:themeColor="accent1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D4546"/>
    <w:rPr>
      <w:rFonts w:eastAsia="Times New Roman"/>
      <w:b/>
      <w:noProof/>
      <w:color w:val="4F81BD" w:themeColor="accent1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D45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C54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54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54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54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548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B34B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C7A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486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e-bfc.eu/ressource-documentaire/liste-des-pieces-a-fournir-a-lappui-dune-demande-de-subven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JEANNELLE Bruno</dc:creator>
  <cp:lastModifiedBy>SANCHEZ Elvina</cp:lastModifiedBy>
  <cp:revision>2</cp:revision>
  <cp:lastPrinted>2022-09-06T13:23:00Z</cp:lastPrinted>
  <dcterms:created xsi:type="dcterms:W3CDTF">2022-10-13T14:41:00Z</dcterms:created>
  <dcterms:modified xsi:type="dcterms:W3CDTF">2022-10-13T14:41:00Z</dcterms:modified>
</cp:coreProperties>
</file>